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ind w:firstLine="720"/>
        <w:rPr>
          <w:rFonts w:ascii="Arial" w:hAnsi="Arial"/>
          <w:sz w:val="20"/>
        </w:rPr>
      </w:pPr>
    </w:p>
    <w:p>
      <w:pPr>
        <w:ind w:left="6521"/>
        <w:rPr>
          <w:color w:val="242424"/>
          <w:szCs w:val="24"/>
          <w:lang w:eastAsia="lt-LT"/>
        </w:rPr>
      </w:pPr>
      <w:r>
        <w:rPr>
          <w:color w:val="242424"/>
          <w:szCs w:val="24"/>
          <w:lang w:eastAsia="lt-LT"/>
        </w:rPr>
        <w:t xml:space="preserve">Ambulatorinių slaugos ir akušerijos ankstyvosios intervencijos paslaugų šeimoms </w:t>
      </w:r>
      <w:r>
        <w:rPr>
          <w:szCs w:val="24"/>
        </w:rPr>
        <w:t>teikimo reikalavimų tvarkos</w:t>
      </w:r>
      <w:r>
        <w:rPr>
          <w:color w:val="242424"/>
          <w:szCs w:val="24"/>
          <w:lang w:eastAsia="lt-LT"/>
        </w:rPr>
        <w:t xml:space="preserve"> aprašo</w:t>
      </w:r>
    </w:p>
    <w:p>
      <w:pPr>
        <w:ind w:left="6521"/>
        <w:rPr>
          <w:color w:val="242424"/>
          <w:szCs w:val="24"/>
          <w:lang w:eastAsia="lt-LT"/>
        </w:rPr>
      </w:pPr>
      <w:r>
        <w:rPr>
          <w:color w:val="242424"/>
          <w:szCs w:val="24"/>
          <w:lang w:eastAsia="lt-LT"/>
        </w:rPr>
        <w:t>13</w:t>
      </w:r>
      <w:r>
        <w:rPr>
          <w:color w:val="242424"/>
          <w:szCs w:val="24"/>
          <w:lang w:eastAsia="lt-LT"/>
        </w:rPr>
        <w:t xml:space="preserve"> priedas </w:t>
      </w:r>
    </w:p>
    <w:p>
      <w:pPr>
        <w:rPr>
          <w:szCs w:val="24"/>
        </w:rPr>
      </w:pPr>
    </w:p>
    <w:p>
      <w:pPr>
        <w:jc w:val="center"/>
        <w:rPr>
          <w:szCs w:val="24"/>
          <w:lang w:eastAsia="lt-LT"/>
        </w:rPr>
      </w:pPr>
      <w:r>
        <w:rPr>
          <w:szCs w:val="24"/>
          <w:lang w:eastAsia="lt-LT"/>
        </w:rPr>
        <w:t>NĖŠČIOSIOS SVEIKATA</w:t>
      </w:r>
    </w:p>
    <w:p>
      <w:pPr>
        <w:jc w:val="center"/>
        <w:rPr>
          <w:color w:val="000000"/>
          <w:szCs w:val="24"/>
        </w:rPr>
      </w:pPr>
    </w:p>
    <w:tbl>
      <w:tblPr>
        <w:tblW w:w="1094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0"/>
        <w:gridCol w:w="2784"/>
      </w:tblGrid>
      <w:tr>
        <w:tc>
          <w:tcPr>
            <w:tcW w:w="8160" w:type="dxa"/>
          </w:tcPr>
          <w:p>
            <w:pPr>
              <w:rPr>
                <w:szCs w:val="24"/>
              </w:rPr>
            </w:pPr>
            <w:r>
              <w:rPr>
                <w:szCs w:val="24"/>
              </w:rPr>
              <w:t>VIZITO DATA:</w:t>
            </w:r>
          </w:p>
        </w:tc>
        <w:tc>
          <w:tcPr>
            <w:tcW w:w="2784" w:type="dxa"/>
          </w:tcPr>
          <w:p>
            <w:pPr>
              <w:rPr>
                <w:szCs w:val="24"/>
              </w:rPr>
            </w:pPr>
            <w:r>
              <w:rPr>
                <w:szCs w:val="24"/>
              </w:rPr>
              <w:t>Nustatytas rizikos lygis:</w:t>
            </w:r>
          </w:p>
        </w:tc>
      </w:tr>
      <w:tr>
        <w:tc>
          <w:tcPr>
            <w:tcW w:w="8160" w:type="dxa"/>
          </w:tcPr>
          <w:p>
            <w:pPr>
              <w:rPr>
                <w:szCs w:val="24"/>
              </w:rPr>
            </w:pPr>
            <w:r>
              <w:rPr>
                <w:szCs w:val="24"/>
              </w:rPr>
              <w:t>VIZITO NR. :</w:t>
            </w:r>
          </w:p>
        </w:tc>
        <w:tc>
          <w:tcPr>
            <w:tcW w:w="2784" w:type="dxa"/>
            <w:vMerge w:val="restart"/>
          </w:tcPr>
          <w:p>
            <w:pPr>
              <w:rPr>
                <w:szCs w:val="24"/>
              </w:rPr>
            </w:pPr>
          </w:p>
        </w:tc>
      </w:tr>
      <w:tr>
        <w:tc>
          <w:tcPr>
            <w:tcW w:w="8160" w:type="dxa"/>
          </w:tcPr>
          <w:p>
            <w:pPr>
              <w:rPr>
                <w:szCs w:val="24"/>
              </w:rPr>
            </w:pPr>
            <w:r>
              <w:rPr>
                <w:szCs w:val="24"/>
              </w:rPr>
              <w:t>ŠLS VARDAS PAVARDĖ:</w:t>
            </w:r>
          </w:p>
        </w:tc>
        <w:tc>
          <w:tcPr>
            <w:tcW w:w="2784" w:type="dxa"/>
            <w:vMerge/>
          </w:tcPr>
          <w:p>
            <w:pPr>
              <w:rPr>
                <w:szCs w:val="24"/>
              </w:rPr>
            </w:pPr>
          </w:p>
        </w:tc>
      </w:tr>
      <w:tr>
        <w:tc>
          <w:tcPr>
            <w:tcW w:w="8160" w:type="dxa"/>
          </w:tcPr>
          <w:p>
            <w:pPr>
              <w:rPr>
                <w:szCs w:val="24"/>
              </w:rPr>
            </w:pPr>
            <w:r>
              <w:rPr>
                <w:szCs w:val="24"/>
              </w:rPr>
              <w:t>NĖŠČIOSIOS VARDAS PAVARDĖ:</w:t>
            </w:r>
          </w:p>
        </w:tc>
        <w:tc>
          <w:tcPr>
            <w:tcW w:w="2784" w:type="dxa"/>
            <w:vMerge/>
          </w:tcPr>
          <w:p>
            <w:pPr>
              <w:rPr>
                <w:szCs w:val="24"/>
              </w:rPr>
            </w:pPr>
          </w:p>
        </w:tc>
      </w:tr>
      <w:tr>
        <w:tc>
          <w:tcPr>
            <w:tcW w:w="10944" w:type="dxa"/>
            <w:gridSpan w:val="2"/>
          </w:tcPr>
          <w:p>
            <w:pPr>
              <w:rPr>
                <w:rFonts w:eastAsia="Calibri"/>
                <w:bCs/>
                <w:szCs w:val="24"/>
              </w:rPr>
            </w:pPr>
            <w:r>
              <w:rPr>
                <w:rFonts w:eastAsia="Calibri"/>
                <w:bCs/>
                <w:szCs w:val="24"/>
              </w:rPr>
              <w:t>Sveikatos priežiūros paslaugų ir nėštumo priežiūros paslaugų užtikrinimas</w:t>
            </w:r>
          </w:p>
          <w:p>
            <w:pPr>
              <w:rPr>
                <w:rFonts w:eastAsia="Calibri"/>
                <w:szCs w:val="24"/>
              </w:rPr>
            </w:pPr>
            <w:r>
              <w:rPr>
                <w:rFonts w:eastAsia="Calibri"/>
                <w:szCs w:val="24"/>
              </w:rPr>
              <w:t>Vertinant sveikatos priežiūros paslaugų ir nėštumo priežiūros paslaugų užtikrinimą būtina įvertinti, ar nėščioji gauna visas būtina paslaugas, ar jos lengvai pasiekiamos, kokios yra papildomų paslaugų galimybės (pvz., kūdikio priežiūros mokymai būsimiems tėvams). Kartu, turėtų būti vertinama, kokia yra pačios nėščiosios sveikatos būklė – ar ji turi fizinę ar psichinę negalią, proto negalią ar kompleksinę negalią, ar turėjo (turi) sveikatos sutrikimų, lėtinių ligų, ar yra ilgalaikiai / ūmūs stresai.</w:t>
            </w:r>
          </w:p>
          <w:p>
            <w:pPr>
              <w:rPr>
                <w:rFonts w:eastAsia="Calibri"/>
                <w:bCs/>
                <w:szCs w:val="24"/>
              </w:rPr>
            </w:pPr>
            <w:r>
              <w:rPr>
                <w:rFonts w:eastAsia="Calibri"/>
                <w:bCs/>
                <w:szCs w:val="24"/>
              </w:rPr>
              <w:t>Rizikos faktoriai:</w:t>
            </w:r>
          </w:p>
          <w:p>
            <w:pPr>
              <w:rPr>
                <w:rFonts w:eastAsia="Calibri"/>
                <w:szCs w:val="24"/>
              </w:rPr>
            </w:pPr>
            <w:r>
              <w:rPr>
                <w:rFonts w:eastAsia="Calibri"/>
                <w:szCs w:val="24"/>
              </w:rPr>
              <w:t>1. Pakankamas paslaugas teikiančių institucijų / specialistų kiekis.</w:t>
            </w:r>
          </w:p>
          <w:p>
            <w:pPr>
              <w:rPr>
                <w:rFonts w:eastAsia="Calibri"/>
                <w:szCs w:val="24"/>
              </w:rPr>
            </w:pPr>
            <w:r>
              <w:rPr>
                <w:rFonts w:eastAsia="Calibri"/>
                <w:szCs w:val="24"/>
              </w:rPr>
              <w:t>2. Paslaugų prieinamumas.</w:t>
            </w:r>
          </w:p>
          <w:p>
            <w:pPr>
              <w:rPr>
                <w:rFonts w:eastAsia="CIDFont+F3"/>
                <w:szCs w:val="24"/>
              </w:rPr>
            </w:pPr>
            <w:r>
              <w:rPr>
                <w:rFonts w:eastAsia="Calibri"/>
                <w:szCs w:val="24"/>
              </w:rPr>
              <w:t xml:space="preserve">3. Nėščiosios sveikata ir galimybė gauti sveikatos būklei deramas paslaugas. </w:t>
            </w:r>
          </w:p>
        </w:tc>
      </w:tr>
    </w:tbl>
    <w:p>
      <w:pPr>
        <w:spacing w:line="276" w:lineRule="auto"/>
        <w:rPr>
          <w:rFonts w:eastAsia="Calibri"/>
          <w:szCs w:val="24"/>
        </w:rPr>
      </w:pPr>
    </w:p>
    <w:p>
      <w:pPr>
        <w:rPr>
          <w:sz w:val="18"/>
          <w:szCs w:val="18"/>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28"/>
        <w:gridCol w:w="1524"/>
      </w:tblGrid>
      <w:tr>
        <w:tc>
          <w:tcPr>
            <w:tcW w:w="11199" w:type="dxa"/>
            <w:gridSpan w:val="3"/>
          </w:tcPr>
          <w:p>
            <w:pPr>
              <w:spacing w:line="360" w:lineRule="auto"/>
              <w:rPr>
                <w:rFonts w:eastAsia="CIDFont+F3"/>
                <w:b/>
                <w:szCs w:val="24"/>
              </w:rPr>
            </w:pPr>
            <w:r>
              <w:rPr>
                <w:rFonts w:eastAsia="CIDFont+F3"/>
                <w:b/>
                <w:szCs w:val="24"/>
              </w:rPr>
              <w:t>Nėštumo duomenys:</w:t>
            </w:r>
          </w:p>
        </w:tc>
      </w:tr>
      <w:tr>
        <w:tc>
          <w:tcPr>
            <w:tcW w:w="3544" w:type="dxa"/>
          </w:tcPr>
          <w:p>
            <w:pPr>
              <w:spacing w:line="360" w:lineRule="auto"/>
              <w:rPr>
                <w:rFonts w:eastAsia="Calibri"/>
                <w:sz w:val="22"/>
                <w:szCs w:val="22"/>
              </w:rPr>
            </w:pPr>
            <w:r>
              <w:rPr>
                <w:rFonts w:eastAsia="Calibri"/>
                <w:sz w:val="22"/>
                <w:szCs w:val="22"/>
              </w:rPr>
              <w:t>Nėštumo trukmė (sav. ir dienos):</w:t>
            </w:r>
          </w:p>
        </w:tc>
        <w:tc>
          <w:tcPr>
            <w:tcW w:w="7655" w:type="dxa"/>
            <w:gridSpan w:val="2"/>
          </w:tcPr>
          <w:p>
            <w:pPr>
              <w:spacing w:line="360" w:lineRule="auto"/>
              <w:rPr>
                <w:rFonts w:eastAsia="CIDFont+F3"/>
                <w:b/>
                <w:szCs w:val="24"/>
              </w:rPr>
            </w:pPr>
          </w:p>
        </w:tc>
      </w:tr>
      <w:tr>
        <w:tc>
          <w:tcPr>
            <w:tcW w:w="3544" w:type="dxa"/>
          </w:tcPr>
          <w:p>
            <w:pPr>
              <w:spacing w:line="360" w:lineRule="auto"/>
              <w:rPr>
                <w:rFonts w:eastAsia="Calibri"/>
                <w:sz w:val="22"/>
                <w:szCs w:val="22"/>
              </w:rPr>
            </w:pPr>
            <w:r>
              <w:rPr>
                <w:rFonts w:eastAsia="Calibri"/>
                <w:sz w:val="22"/>
                <w:szCs w:val="22"/>
              </w:rPr>
              <w:t>Numatoma gimdymo data:</w:t>
            </w:r>
          </w:p>
        </w:tc>
        <w:tc>
          <w:tcPr>
            <w:tcW w:w="7655" w:type="dxa"/>
            <w:gridSpan w:val="2"/>
          </w:tcPr>
          <w:p>
            <w:pPr>
              <w:spacing w:line="360" w:lineRule="auto"/>
              <w:rPr>
                <w:rFonts w:eastAsia="CIDFont+F3"/>
                <w:b/>
                <w:szCs w:val="24"/>
              </w:rPr>
            </w:pPr>
          </w:p>
        </w:tc>
      </w:tr>
      <w:tr>
        <w:tc>
          <w:tcPr>
            <w:tcW w:w="3544" w:type="dxa"/>
          </w:tcPr>
          <w:p>
            <w:pPr>
              <w:spacing w:line="360" w:lineRule="auto"/>
              <w:rPr>
                <w:rFonts w:eastAsia="Calibri"/>
                <w:sz w:val="22"/>
                <w:szCs w:val="22"/>
              </w:rPr>
            </w:pPr>
            <w:r>
              <w:rPr>
                <w:rFonts w:eastAsia="Calibri"/>
                <w:sz w:val="22"/>
                <w:szCs w:val="22"/>
              </w:rPr>
              <w:t>Nėščiąją prižiūri:</w:t>
            </w:r>
          </w:p>
        </w:tc>
        <w:tc>
          <w:tcPr>
            <w:tcW w:w="7655" w:type="dxa"/>
            <w:gridSpan w:val="2"/>
          </w:tcPr>
          <w:p>
            <w:pPr>
              <w:rPr>
                <w:rFonts w:eastAsia="Calibri"/>
                <w:sz w:val="22"/>
                <w:szCs w:val="22"/>
              </w:rPr>
            </w:pPr>
            <w:r>
              <w:rPr>
                <w:rFonts w:eastAsia="Calibri"/>
                <w:sz w:val="22"/>
                <w:szCs w:val="22"/>
              </w:rPr>
              <w:t xml:space="preserve">□ Akušeris    </w:t>
            </w:r>
          </w:p>
          <w:p>
            <w:pPr>
              <w:rPr>
                <w:rFonts w:eastAsia="Calibri"/>
                <w:sz w:val="22"/>
                <w:szCs w:val="22"/>
              </w:rPr>
            </w:pPr>
            <w:r>
              <w:rPr>
                <w:rFonts w:eastAsia="Calibri"/>
                <w:sz w:val="22"/>
                <w:szCs w:val="22"/>
              </w:rPr>
              <w:t xml:space="preserve">□ Šeimos gydytojas     </w:t>
            </w:r>
          </w:p>
          <w:p>
            <w:pPr>
              <w:rPr>
                <w:rFonts w:eastAsia="Calibri"/>
                <w:sz w:val="22"/>
                <w:szCs w:val="22"/>
              </w:rPr>
            </w:pPr>
            <w:r>
              <w:rPr>
                <w:rFonts w:eastAsia="Calibri"/>
                <w:sz w:val="22"/>
                <w:szCs w:val="22"/>
              </w:rPr>
              <w:t xml:space="preserve">□ Gydytojas akušeris ginekologas     </w:t>
            </w:r>
          </w:p>
          <w:p>
            <w:pPr>
              <w:rPr>
                <w:rFonts w:ascii="Calibri" w:eastAsia="Calibri" w:hAnsi="Calibri"/>
                <w:w w:val="95"/>
                <w:sz w:val="22"/>
                <w:szCs w:val="22"/>
              </w:rPr>
            </w:pPr>
            <w:r>
              <w:rPr>
                <w:rFonts w:eastAsia="Calibri"/>
                <w:sz w:val="22"/>
                <w:szCs w:val="22"/>
              </w:rPr>
              <w:t>□ Moterų konsultacijos nelankė</w:t>
            </w:r>
          </w:p>
        </w:tc>
      </w:tr>
      <w:tr>
        <w:tc>
          <w:tcPr>
            <w:tcW w:w="3544" w:type="dxa"/>
          </w:tcPr>
          <w:p>
            <w:pPr>
              <w:rPr>
                <w:rFonts w:eastAsia="Calibri"/>
                <w:sz w:val="22"/>
                <w:szCs w:val="22"/>
              </w:rPr>
            </w:pPr>
            <w:r>
              <w:rPr>
                <w:rFonts w:eastAsia="Calibri"/>
                <w:sz w:val="22"/>
                <w:szCs w:val="22"/>
              </w:rPr>
              <w:t>Nėščiosios svoris:</w:t>
            </w:r>
          </w:p>
        </w:tc>
        <w:tc>
          <w:tcPr>
            <w:tcW w:w="7655" w:type="dxa"/>
            <w:gridSpan w:val="2"/>
          </w:tcPr>
          <w:p>
            <w:pPr>
              <w:rPr>
                <w:rFonts w:eastAsia="Calibri"/>
                <w:szCs w:val="24"/>
              </w:rPr>
            </w:pPr>
          </w:p>
        </w:tc>
      </w:tr>
      <w:tr>
        <w:tc>
          <w:tcPr>
            <w:tcW w:w="3544" w:type="dxa"/>
          </w:tcPr>
          <w:p>
            <w:pPr>
              <w:rPr>
                <w:rFonts w:eastAsia="Calibri"/>
                <w:sz w:val="22"/>
                <w:szCs w:val="22"/>
              </w:rPr>
            </w:pPr>
            <w:r>
              <w:rPr>
                <w:rFonts w:eastAsia="Calibri"/>
                <w:sz w:val="22"/>
                <w:szCs w:val="22"/>
              </w:rPr>
              <w:t>Kiek kilogramų priaugo nėštumo metu?</w:t>
            </w:r>
          </w:p>
        </w:tc>
        <w:tc>
          <w:tcPr>
            <w:tcW w:w="7655" w:type="dxa"/>
            <w:gridSpan w:val="2"/>
          </w:tcPr>
          <w:p>
            <w:pPr>
              <w:rPr>
                <w:rFonts w:eastAsia="Calibri"/>
                <w:szCs w:val="24"/>
              </w:rPr>
            </w:pPr>
          </w:p>
        </w:tc>
      </w:tr>
      <w:tr>
        <w:trPr>
          <w:trHeight w:val="562"/>
        </w:trPr>
        <w:tc>
          <w:tcPr>
            <w:tcW w:w="11199" w:type="dxa"/>
            <w:gridSpan w:val="3"/>
            <w:vAlign w:val="center"/>
          </w:tcPr>
          <w:p>
            <w:pPr>
              <w:jc w:val="center"/>
              <w:rPr>
                <w:rFonts w:eastAsia="Calibri"/>
                <w:szCs w:val="24"/>
              </w:rPr>
            </w:pPr>
            <w:r>
              <w:rPr>
                <w:rFonts w:eastAsia="Calibri"/>
                <w:b/>
                <w:caps/>
                <w:color w:val="000000"/>
                <w:szCs w:val="24"/>
              </w:rPr>
              <w:t>DIDELĖS RIZIKOS NĖŠTUMO VEIKSNIAI</w:t>
            </w:r>
          </w:p>
        </w:tc>
      </w:tr>
      <w:tr>
        <w:tc>
          <w:tcPr>
            <w:tcW w:w="9639" w:type="dxa"/>
            <w:gridSpan w:val="2"/>
          </w:tcPr>
          <w:p>
            <w:pPr>
              <w:rPr>
                <w:rFonts w:eastAsia="Calibri"/>
                <w:b/>
                <w:caps/>
                <w:color w:val="000000"/>
                <w:sz w:val="22"/>
                <w:szCs w:val="22"/>
              </w:rPr>
            </w:pPr>
          </w:p>
        </w:tc>
        <w:tc>
          <w:tcPr>
            <w:tcW w:w="1560" w:type="dxa"/>
            <w:vAlign w:val="center"/>
          </w:tcPr>
          <w:p>
            <w:pPr>
              <w:jc w:val="center"/>
              <w:rPr>
                <w:rFonts w:eastAsia="Calibri"/>
                <w:sz w:val="22"/>
                <w:szCs w:val="22"/>
              </w:rPr>
            </w:pPr>
            <w:r>
              <w:rPr>
                <w:rFonts w:eastAsia="Calibri"/>
                <w:sz w:val="22"/>
                <w:szCs w:val="22"/>
              </w:rPr>
              <w:t>(Žymėti varnele)</w:t>
            </w:r>
          </w:p>
        </w:tc>
      </w:tr>
      <w:tr>
        <w:tc>
          <w:tcPr>
            <w:tcW w:w="11199" w:type="dxa"/>
            <w:gridSpan w:val="3"/>
          </w:tcPr>
          <w:p>
            <w:pPr>
              <w:rPr>
                <w:rFonts w:eastAsia="Calibri"/>
                <w:szCs w:val="24"/>
              </w:rPr>
            </w:pPr>
            <w:r>
              <w:rPr>
                <w:rFonts w:eastAsia="Calibri"/>
                <w:b/>
                <w:caps/>
                <w:color w:val="000000"/>
                <w:sz w:val="22"/>
                <w:szCs w:val="22"/>
              </w:rPr>
              <w:t>NEPALANKI AKUŠERINĖ ANAMNEZĖ:</w:t>
            </w:r>
          </w:p>
        </w:tc>
      </w:tr>
      <w:tr>
        <w:tc>
          <w:tcPr>
            <w:tcW w:w="9639" w:type="dxa"/>
            <w:gridSpan w:val="2"/>
          </w:tcPr>
          <w:p>
            <w:pPr>
              <w:rPr>
                <w:rFonts w:eastAsia="Calibri"/>
                <w:sz w:val="22"/>
                <w:szCs w:val="22"/>
              </w:rPr>
            </w:pPr>
            <w:r>
              <w:rPr>
                <w:rFonts w:eastAsia="Calibri"/>
                <w:color w:val="000000"/>
                <w:sz w:val="22"/>
                <w:szCs w:val="22"/>
              </w:rPr>
              <w:t>nevaisingumas</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vienas ir daugiau iš eilės neišnešioti nėštumai (vėlyvi (≥14</w:t>
            </w:r>
            <w:r>
              <w:rPr>
                <w:rFonts w:eastAsia="Calibri"/>
                <w:color w:val="000000"/>
                <w:sz w:val="22"/>
                <w:szCs w:val="22"/>
                <w:vertAlign w:val="superscript"/>
              </w:rPr>
              <w:t>+0</w:t>
            </w:r>
            <w:r>
              <w:rPr>
                <w:rFonts w:eastAsia="Calibri"/>
                <w:color w:val="000000"/>
                <w:sz w:val="22"/>
                <w:szCs w:val="22"/>
              </w:rPr>
              <w:t xml:space="preserve"> nėštumo savaitės) persileidimai ir (ar) priešlaikiniai gimdymai)</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cezario pjūvio operacija</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gimdos operacija</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eklampsija</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sunki preeklampsija</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tromboembolinės komplikacijos</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perinatalinė mirtis</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naujagimio centrinės nervų sistemos pažeidimas</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naujagimio sklaidos trūkumai</w:t>
            </w:r>
          </w:p>
        </w:tc>
        <w:tc>
          <w:tcPr>
            <w:tcW w:w="1560" w:type="dxa"/>
          </w:tcPr>
          <w:p>
            <w:pPr>
              <w:rPr>
                <w:rFonts w:eastAsia="Calibri"/>
                <w:szCs w:val="24"/>
              </w:rPr>
            </w:pPr>
          </w:p>
        </w:tc>
      </w:tr>
      <w:tr>
        <w:tc>
          <w:tcPr>
            <w:tcW w:w="9639" w:type="dxa"/>
            <w:gridSpan w:val="2"/>
          </w:tcPr>
          <w:p>
            <w:pPr>
              <w:rPr>
                <w:rFonts w:eastAsia="Calibri"/>
                <w:sz w:val="22"/>
                <w:szCs w:val="22"/>
              </w:rPr>
            </w:pPr>
            <w:r>
              <w:rPr>
                <w:rFonts w:eastAsia="Calibri"/>
                <w:color w:val="000000"/>
                <w:sz w:val="22"/>
                <w:szCs w:val="22"/>
              </w:rPr>
              <w:t>naujagimio hemolizinė liga</w:t>
            </w:r>
          </w:p>
        </w:tc>
        <w:tc>
          <w:tcPr>
            <w:tcW w:w="1560" w:type="dxa"/>
          </w:tcPr>
          <w:p>
            <w:pPr>
              <w:rPr>
                <w:rFonts w:eastAsia="Calibri"/>
                <w:szCs w:val="24"/>
              </w:rPr>
            </w:pPr>
          </w:p>
        </w:tc>
      </w:tr>
      <w:tr>
        <w:tc>
          <w:tcPr>
            <w:tcW w:w="11199" w:type="dxa"/>
            <w:gridSpan w:val="3"/>
          </w:tcPr>
          <w:p>
            <w:pPr>
              <w:rPr>
                <w:rFonts w:eastAsia="Calibri"/>
                <w:b/>
                <w:szCs w:val="24"/>
              </w:rPr>
            </w:pPr>
            <w:r>
              <w:rPr>
                <w:rFonts w:eastAsia="Calibri"/>
                <w:b/>
                <w:szCs w:val="24"/>
              </w:rPr>
              <w:t>NEPALANKI NĖŠČIOSIOS BŪKLĖ:</w:t>
            </w: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pirmą kartą gimdysianti nėščioji yra vyresnė nei 40 m.</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pirmą kartą gimdysianti nėščioji yra jaunesnė nei 18 m.</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nėščioji, gimdysianti 5 kartą ar daugiau</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Rh ir kita izoimuninė sensibilizacija</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iki 12 nėštumo savaitės nustatytas kūno masės indeksas yra 30 ar didesnis</w:t>
            </w:r>
          </w:p>
        </w:tc>
        <w:tc>
          <w:tcPr>
            <w:tcW w:w="1560" w:type="dxa"/>
          </w:tcPr>
          <w:p>
            <w:pPr>
              <w:rPr>
                <w:rFonts w:eastAsia="Calibri"/>
                <w:szCs w:val="24"/>
              </w:rPr>
            </w:pPr>
          </w:p>
        </w:tc>
      </w:tr>
      <w:tr>
        <w:tc>
          <w:tcPr>
            <w:tcW w:w="9639" w:type="dxa"/>
            <w:gridSpan w:val="2"/>
            <w:vAlign w:val="center"/>
          </w:tcPr>
          <w:p>
            <w:pPr>
              <w:spacing w:line="240" w:lineRule="atLeast"/>
              <w:rPr>
                <w:rFonts w:eastAsia="Calibri"/>
                <w:sz w:val="22"/>
                <w:szCs w:val="22"/>
              </w:rPr>
            </w:pPr>
            <w:r>
              <w:rPr>
                <w:rFonts w:eastAsia="Calibri"/>
                <w:color w:val="000000"/>
                <w:sz w:val="22"/>
                <w:szCs w:val="22"/>
              </w:rPr>
              <w:t>pagalbinis apvaisinimas</w:t>
            </w:r>
          </w:p>
        </w:tc>
        <w:tc>
          <w:tcPr>
            <w:tcW w:w="1560" w:type="dxa"/>
          </w:tcPr>
          <w:p>
            <w:pPr>
              <w:rPr>
                <w:rFonts w:eastAsia="Calibri"/>
                <w:szCs w:val="24"/>
              </w:rPr>
            </w:pPr>
          </w:p>
        </w:tc>
      </w:tr>
      <w:tr>
        <w:tc>
          <w:tcPr>
            <w:tcW w:w="11199" w:type="dxa"/>
            <w:gridSpan w:val="3"/>
          </w:tcPr>
          <w:p>
            <w:pPr>
              <w:rPr>
                <w:rFonts w:eastAsia="Calibri"/>
                <w:b/>
                <w:szCs w:val="24"/>
              </w:rPr>
            </w:pPr>
            <w:r>
              <w:rPr>
                <w:rFonts w:eastAsia="Calibri"/>
                <w:b/>
                <w:szCs w:val="24"/>
              </w:rPr>
              <w:t>VASIAUS PATOLOGIJA:</w:t>
            </w:r>
          </w:p>
        </w:tc>
      </w:tr>
      <w:tr>
        <w:tc>
          <w:tcPr>
            <w:tcW w:w="9639" w:type="dxa"/>
            <w:gridSpan w:val="2"/>
          </w:tcPr>
          <w:p>
            <w:pPr>
              <w:spacing w:line="240" w:lineRule="atLeast"/>
              <w:rPr>
                <w:rFonts w:eastAsia="Calibri"/>
                <w:color w:val="000000"/>
                <w:sz w:val="22"/>
                <w:szCs w:val="22"/>
              </w:rPr>
            </w:pPr>
            <w:r>
              <w:rPr>
                <w:rFonts w:eastAsia="Calibri"/>
                <w:color w:val="000000"/>
                <w:sz w:val="22"/>
                <w:szCs w:val="22"/>
              </w:rPr>
              <w:t>stambus vaisius (svoris didesnis nei 90 procentilių)</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nepakankamas vaisiaus augimas (svoris mažesnis nei 10 procentilių)</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vaisiaus sklaidos trūkumai</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vaisiaus vandenė</w:t>
            </w:r>
          </w:p>
        </w:tc>
        <w:tc>
          <w:tcPr>
            <w:tcW w:w="1560" w:type="dxa"/>
          </w:tcPr>
          <w:p>
            <w:pPr>
              <w:rPr>
                <w:rFonts w:eastAsia="Calibri"/>
                <w:szCs w:val="24"/>
              </w:rPr>
            </w:pPr>
          </w:p>
        </w:tc>
      </w:tr>
      <w:tr>
        <w:tc>
          <w:tcPr>
            <w:tcW w:w="9639" w:type="dxa"/>
            <w:gridSpan w:val="2"/>
          </w:tcPr>
          <w:p>
            <w:pPr>
              <w:spacing w:line="240" w:lineRule="atLeast"/>
              <w:rPr>
                <w:rFonts w:eastAsia="Calibri"/>
                <w:bCs/>
                <w:sz w:val="22"/>
                <w:szCs w:val="22"/>
              </w:rPr>
            </w:pPr>
            <w:r>
              <w:rPr>
                <w:rFonts w:eastAsia="Calibri"/>
                <w:bCs/>
                <w:color w:val="000000"/>
                <w:sz w:val="22"/>
                <w:szCs w:val="22"/>
              </w:rPr>
              <w:t>vaisiaus širdies aritmija</w:t>
            </w:r>
          </w:p>
        </w:tc>
        <w:tc>
          <w:tcPr>
            <w:tcW w:w="1560" w:type="dxa"/>
          </w:tcPr>
          <w:p>
            <w:pPr>
              <w:rPr>
                <w:rFonts w:eastAsia="Calibri"/>
                <w:szCs w:val="24"/>
              </w:rPr>
            </w:pPr>
          </w:p>
        </w:tc>
      </w:tr>
      <w:tr>
        <w:tc>
          <w:tcPr>
            <w:tcW w:w="9639" w:type="dxa"/>
            <w:gridSpan w:val="2"/>
          </w:tcPr>
          <w:p>
            <w:pPr>
              <w:rPr>
                <w:rFonts w:eastAsia="Calibri"/>
                <w:b/>
                <w:szCs w:val="24"/>
              </w:rPr>
            </w:pPr>
            <w:r>
              <w:rPr>
                <w:rFonts w:eastAsia="Calibri"/>
                <w:b/>
                <w:szCs w:val="24"/>
              </w:rPr>
              <w:t>NĖŠTUMO PATOLOGIJA:</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netaisyklinga vaisiaus padėtis nuo 36 nėštumo savaitės</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daugiavaisis nėštumas</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oligohidramnionas</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polihidramnionas</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hipertenzinės būklės</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kraujavimas</w:t>
            </w:r>
          </w:p>
        </w:tc>
        <w:tc>
          <w:tcPr>
            <w:tcW w:w="1560" w:type="dxa"/>
          </w:tcPr>
          <w:p>
            <w:pPr>
              <w:rPr>
                <w:rFonts w:eastAsia="Calibri"/>
                <w:szCs w:val="24"/>
              </w:rPr>
            </w:pPr>
          </w:p>
        </w:tc>
      </w:tr>
      <w:tr>
        <w:tc>
          <w:tcPr>
            <w:tcW w:w="9639" w:type="dxa"/>
            <w:gridSpan w:val="2"/>
            <w:vAlign w:val="center"/>
          </w:tcPr>
          <w:p>
            <w:pPr>
              <w:spacing w:line="240" w:lineRule="atLeast"/>
              <w:rPr>
                <w:rFonts w:eastAsia="Calibri"/>
                <w:color w:val="000000"/>
                <w:sz w:val="22"/>
                <w:szCs w:val="22"/>
              </w:rPr>
            </w:pPr>
            <w:r>
              <w:rPr>
                <w:rFonts w:eastAsia="Calibri"/>
                <w:color w:val="000000"/>
                <w:sz w:val="22"/>
                <w:szCs w:val="22"/>
              </w:rPr>
              <w:t>nėštumas tęsiasi po nustatyto gimdymo termino (&gt; 41</w:t>
            </w:r>
            <w:r>
              <w:rPr>
                <w:rFonts w:eastAsia="Calibri"/>
                <w:color w:val="000000"/>
                <w:sz w:val="22"/>
                <w:szCs w:val="22"/>
                <w:vertAlign w:val="superscript"/>
              </w:rPr>
              <w:t>+0</w:t>
            </w:r>
            <w:r>
              <w:rPr>
                <w:rFonts w:eastAsia="Calibri"/>
                <w:color w:val="000000"/>
                <w:sz w:val="22"/>
                <w:szCs w:val="22"/>
              </w:rPr>
              <w:t xml:space="preserve"> nėštumo savaitės)</w:t>
            </w:r>
          </w:p>
        </w:tc>
        <w:tc>
          <w:tcPr>
            <w:tcW w:w="1560" w:type="dxa"/>
          </w:tcPr>
          <w:p>
            <w:pPr>
              <w:rPr>
                <w:rFonts w:eastAsia="Calibri"/>
                <w:szCs w:val="24"/>
              </w:rPr>
            </w:pPr>
          </w:p>
        </w:tc>
      </w:tr>
      <w:tr>
        <w:tc>
          <w:tcPr>
            <w:tcW w:w="9639" w:type="dxa"/>
            <w:gridSpan w:val="2"/>
            <w:vAlign w:val="center"/>
          </w:tcPr>
          <w:p>
            <w:pPr>
              <w:spacing w:line="240" w:lineRule="atLeast"/>
              <w:rPr>
                <w:rFonts w:eastAsia="Calibri"/>
                <w:sz w:val="22"/>
                <w:szCs w:val="22"/>
              </w:rPr>
            </w:pPr>
            <w:r>
              <w:rPr>
                <w:rFonts w:eastAsia="Calibri"/>
                <w:color w:val="000000"/>
                <w:sz w:val="22"/>
                <w:szCs w:val="22"/>
              </w:rPr>
              <w:t>placentos pirmeiga ar kitas patologinis prisitvirtinimas</w:t>
            </w:r>
          </w:p>
        </w:tc>
        <w:tc>
          <w:tcPr>
            <w:tcW w:w="1560" w:type="dxa"/>
          </w:tcPr>
          <w:p>
            <w:pPr>
              <w:rPr>
                <w:rFonts w:eastAsia="Calibri"/>
                <w:szCs w:val="24"/>
              </w:rPr>
            </w:pPr>
          </w:p>
        </w:tc>
      </w:tr>
      <w:tr>
        <w:tc>
          <w:tcPr>
            <w:tcW w:w="9639" w:type="dxa"/>
            <w:gridSpan w:val="2"/>
            <w:vAlign w:val="center"/>
          </w:tcPr>
          <w:p>
            <w:pPr>
              <w:spacing w:line="240" w:lineRule="atLeast"/>
              <w:rPr>
                <w:rFonts w:eastAsia="Calibri"/>
                <w:b/>
                <w:szCs w:val="24"/>
              </w:rPr>
            </w:pPr>
            <w:r>
              <w:rPr>
                <w:rFonts w:eastAsia="Calibri"/>
                <w:b/>
                <w:szCs w:val="24"/>
              </w:rPr>
              <w:t>NĖŠČIOSIOS LIGOS:</w:t>
            </w:r>
          </w:p>
        </w:tc>
        <w:tc>
          <w:tcPr>
            <w:tcW w:w="1560" w:type="dxa"/>
          </w:tcPr>
          <w:p>
            <w:pPr>
              <w:rPr>
                <w:rFonts w:eastAsia="Calibri"/>
                <w:szCs w:val="24"/>
              </w:rPr>
            </w:pPr>
          </w:p>
        </w:tc>
      </w:tr>
      <w:tr>
        <w:tc>
          <w:tcPr>
            <w:tcW w:w="9639" w:type="dxa"/>
            <w:gridSpan w:val="2"/>
            <w:vAlign w:val="center"/>
          </w:tcPr>
          <w:p>
            <w:pPr>
              <w:spacing w:line="240" w:lineRule="atLeast"/>
              <w:rPr>
                <w:rFonts w:eastAsia="Calibri"/>
                <w:b/>
                <w:color w:val="000000"/>
                <w:sz w:val="22"/>
                <w:szCs w:val="22"/>
              </w:rPr>
            </w:pPr>
            <w:r>
              <w:rPr>
                <w:rFonts w:eastAsia="Calibri"/>
                <w:color w:val="000000"/>
                <w:sz w:val="22"/>
                <w:szCs w:val="22"/>
              </w:rPr>
              <w:t>nėščiosios liga, komplikuojanti nėštumo eigą</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 xml:space="preserve">cukrinis diabetas:         </w:t>
            </w:r>
            <w:r>
              <w:rPr>
                <w:rFonts w:eastAsia="Calibri"/>
                <w:sz w:val="22"/>
                <w:szCs w:val="22"/>
              </w:rPr>
              <w:t xml:space="preserve">□ I tipo        □ II tipo</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gestacinis diabetas</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pielonefritas</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onkologinės ligos</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lyties organų sklaidos trūkumai</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gimdos miomos, komplikuojančios nėštumo eigą</w:t>
            </w:r>
          </w:p>
        </w:tc>
        <w:tc>
          <w:tcPr>
            <w:tcW w:w="1560" w:type="dxa"/>
          </w:tcPr>
          <w:p>
            <w:pPr>
              <w:rPr>
                <w:rFonts w:eastAsia="Calibri"/>
                <w:szCs w:val="24"/>
              </w:rPr>
            </w:pPr>
          </w:p>
        </w:tc>
      </w:tr>
      <w:tr>
        <w:tc>
          <w:tcPr>
            <w:tcW w:w="9639" w:type="dxa"/>
            <w:gridSpan w:val="2"/>
          </w:tcPr>
          <w:p>
            <w:pPr>
              <w:spacing w:line="240" w:lineRule="atLeast"/>
              <w:rPr>
                <w:rFonts w:eastAsia="Calibri"/>
                <w:color w:val="000000"/>
                <w:sz w:val="22"/>
                <w:szCs w:val="22"/>
              </w:rPr>
            </w:pPr>
            <w:r>
              <w:rPr>
                <w:rFonts w:eastAsia="Calibri"/>
                <w:color w:val="000000"/>
                <w:sz w:val="22"/>
                <w:szCs w:val="22"/>
              </w:rPr>
              <w:t>alkoholizmas, narkomanija</w:t>
            </w:r>
          </w:p>
        </w:tc>
        <w:tc>
          <w:tcPr>
            <w:tcW w:w="1560" w:type="dxa"/>
          </w:tcPr>
          <w:p>
            <w:pPr>
              <w:rPr>
                <w:rFonts w:eastAsia="Calibri"/>
                <w:szCs w:val="24"/>
              </w:rPr>
            </w:pPr>
          </w:p>
        </w:tc>
      </w:tr>
      <w:tr>
        <w:tc>
          <w:tcPr>
            <w:tcW w:w="9639" w:type="dxa"/>
            <w:gridSpan w:val="2"/>
          </w:tcPr>
          <w:p>
            <w:pPr>
              <w:spacing w:line="240" w:lineRule="atLeast"/>
              <w:rPr>
                <w:rFonts w:eastAsia="Calibri"/>
                <w:sz w:val="22"/>
                <w:szCs w:val="22"/>
              </w:rPr>
            </w:pPr>
            <w:r>
              <w:rPr>
                <w:rFonts w:eastAsia="Calibri"/>
                <w:color w:val="000000"/>
                <w:sz w:val="22"/>
                <w:szCs w:val="22"/>
              </w:rPr>
              <w:t>ŽIV, AIDS, hepatitas B ir (ar) C</w:t>
            </w:r>
          </w:p>
        </w:tc>
        <w:tc>
          <w:tcPr>
            <w:tcW w:w="1560" w:type="dxa"/>
          </w:tcPr>
          <w:p>
            <w:pPr>
              <w:rPr>
                <w:rFonts w:eastAsia="Calibri"/>
                <w:szCs w:val="24"/>
              </w:rPr>
            </w:pPr>
          </w:p>
        </w:tc>
      </w:tr>
      <w:tr>
        <w:tc>
          <w:tcPr>
            <w:tcW w:w="11199" w:type="dxa"/>
            <w:gridSpan w:val="3"/>
          </w:tcPr>
          <w:p>
            <w:pPr>
              <w:rPr>
                <w:rFonts w:eastAsia="Calibri"/>
                <w:szCs w:val="24"/>
              </w:rPr>
            </w:pPr>
          </w:p>
        </w:tc>
      </w:tr>
    </w:tbl>
    <w:p>
      <w:pPr>
        <w:spacing w:line="276" w:lineRule="auto"/>
        <w:rPr>
          <w:rFonts w:eastAsia="Calibri"/>
          <w:szCs w:val="24"/>
        </w:rPr>
      </w:pPr>
    </w:p>
    <w:p>
      <w:pPr>
        <w:rPr>
          <w:sz w:val="18"/>
          <w:szCs w:val="18"/>
        </w:rPr>
      </w:pPr>
    </w:p>
    <w:tbl>
      <w:tblPr>
        <w:tblW w:w="5534" w:type="pct"/>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59"/>
        <w:gridCol w:w="577"/>
        <w:gridCol w:w="789"/>
        <w:gridCol w:w="759"/>
        <w:gridCol w:w="712"/>
        <w:gridCol w:w="816"/>
        <w:gridCol w:w="678"/>
        <w:gridCol w:w="676"/>
        <w:gridCol w:w="682"/>
        <w:gridCol w:w="808"/>
      </w:tblGrid>
      <w:tr>
        <w:trPr>
          <w:trHeight w:val="234"/>
        </w:trPr>
        <w:tc>
          <w:tcPr>
            <w:tcW w:w="5000" w:type="pct"/>
            <w:gridSpan w:val="10"/>
            <w:tcBorders>
              <w:top w:val="single" w:sz="4" w:space="0" w:color="000000"/>
            </w:tcBorders>
            <w:shd w:val="clear" w:color="auto" w:fill="EEECE1"/>
            <w:vAlign w:val="center"/>
          </w:tcPr>
          <w:p>
            <w:pPr>
              <w:jc w:val="center"/>
              <w:rPr>
                <w:rFonts w:eastAsia="Calibri"/>
                <w:b/>
                <w:color w:val="FFFFFF"/>
                <w:szCs w:val="24"/>
              </w:rPr>
            </w:pPr>
            <w:r>
              <w:rPr>
                <w:rFonts w:eastAsia="Calibri"/>
                <w:b/>
                <w:szCs w:val="24"/>
              </w:rPr>
              <w:t>NĖŠTUMO PRIEŽIŪROS PLANAS</w:t>
            </w:r>
          </w:p>
        </w:tc>
      </w:tr>
      <w:tr>
        <w:trPr>
          <w:trHeight w:val="234"/>
        </w:trPr>
        <w:tc>
          <w:tcPr>
            <w:tcW w:w="1952" w:type="pct"/>
            <w:vMerge w:val="restart"/>
            <w:tcBorders>
              <w:top w:val="single" w:sz="4" w:space="0" w:color="000000"/>
            </w:tcBorders>
            <w:vAlign w:val="center"/>
          </w:tcPr>
          <w:p>
            <w:pPr>
              <w:tabs>
                <w:tab w:val="left" w:pos="6776"/>
              </w:tabs>
              <w:jc w:val="center"/>
              <w:rPr>
                <w:rFonts w:eastAsia="Calibri"/>
                <w:b/>
                <w:szCs w:val="24"/>
              </w:rPr>
            </w:pPr>
            <w:r>
              <w:rPr>
                <w:rFonts w:eastAsia="Calibri"/>
                <w:b/>
                <w:szCs w:val="24"/>
              </w:rPr>
              <w:t>Veiksmai:</w:t>
            </w:r>
          </w:p>
        </w:tc>
        <w:tc>
          <w:tcPr>
            <w:tcW w:w="3048" w:type="pct"/>
            <w:gridSpan w:val="9"/>
            <w:tcBorders>
              <w:top w:val="single" w:sz="4" w:space="0" w:color="000000"/>
            </w:tcBorders>
            <w:vAlign w:val="center"/>
          </w:tcPr>
          <w:p>
            <w:pPr>
              <w:tabs>
                <w:tab w:val="left" w:pos="6776"/>
              </w:tabs>
              <w:spacing w:line="276" w:lineRule="auto"/>
              <w:jc w:val="center"/>
              <w:rPr>
                <w:rFonts w:eastAsia="Calibri"/>
                <w:b/>
                <w:szCs w:val="24"/>
              </w:rPr>
            </w:pPr>
            <w:r>
              <w:rPr>
                <w:rFonts w:eastAsia="Calibri"/>
                <w:b/>
                <w:szCs w:val="24"/>
              </w:rPr>
              <w:t>Nėštumo dydis savaitėmis</w:t>
            </w:r>
          </w:p>
        </w:tc>
      </w:tr>
      <w:tr>
        <w:trPr>
          <w:trHeight w:val="242"/>
        </w:trPr>
        <w:tc>
          <w:tcPr>
            <w:tcW w:w="1952" w:type="pct"/>
            <w:vMerge/>
          </w:tcPr>
          <w:p>
            <w:pPr>
              <w:tabs>
                <w:tab w:val="left" w:pos="6776"/>
              </w:tabs>
              <w:spacing w:line="276" w:lineRule="auto"/>
              <w:jc w:val="center"/>
              <w:rPr>
                <w:rFonts w:ascii="Calibri" w:eastAsia="Calibri" w:hAnsi="Calibri"/>
                <w:b/>
                <w:sz w:val="20"/>
              </w:rPr>
            </w:pPr>
          </w:p>
        </w:tc>
        <w:tc>
          <w:tcPr>
            <w:tcW w:w="271" w:type="pct"/>
            <w:vMerge w:val="restart"/>
            <w:vAlign w:val="center"/>
          </w:tcPr>
          <w:p>
            <w:pPr>
              <w:tabs>
                <w:tab w:val="left" w:pos="6776"/>
              </w:tabs>
              <w:spacing w:line="276" w:lineRule="auto"/>
              <w:ind w:left="-56" w:right="-60"/>
              <w:jc w:val="center"/>
              <w:rPr>
                <w:rFonts w:eastAsia="Calibri"/>
                <w:b/>
                <w:w w:val="90"/>
                <w:sz w:val="20"/>
              </w:rPr>
            </w:pPr>
            <w:r>
              <w:rPr>
                <w:rFonts w:eastAsia="Calibri"/>
                <w:b/>
                <w:w w:val="90"/>
                <w:sz w:val="20"/>
              </w:rPr>
              <w:t>Iki 12</w:t>
            </w:r>
          </w:p>
        </w:tc>
        <w:tc>
          <w:tcPr>
            <w:tcW w:w="370" w:type="pct"/>
            <w:vMerge w:val="restart"/>
            <w:vAlign w:val="center"/>
          </w:tcPr>
          <w:p>
            <w:pPr>
              <w:tabs>
                <w:tab w:val="left" w:pos="6776"/>
              </w:tabs>
              <w:spacing w:line="276" w:lineRule="auto"/>
              <w:ind w:left="-54" w:right="-60"/>
              <w:jc w:val="center"/>
              <w:rPr>
                <w:rFonts w:eastAsia="Calibri"/>
                <w:b/>
                <w:w w:val="90"/>
                <w:sz w:val="20"/>
                <w:vertAlign w:val="superscript"/>
              </w:rPr>
            </w:pPr>
            <w:r>
              <w:rPr>
                <w:rFonts w:eastAsia="Calibri"/>
                <w:b/>
                <w:w w:val="90"/>
                <w:sz w:val="20"/>
              </w:rPr>
              <w:t>11</w:t>
            </w:r>
            <w:r>
              <w:rPr>
                <w:rFonts w:eastAsia="Calibri"/>
                <w:b/>
                <w:w w:val="90"/>
                <w:sz w:val="20"/>
                <w:vertAlign w:val="superscript"/>
              </w:rPr>
              <w:t>+0</w:t>
            </w:r>
            <w:r>
              <w:rPr>
                <w:rFonts w:eastAsia="Calibri"/>
                <w:b/>
                <w:w w:val="90"/>
                <w:sz w:val="20"/>
              </w:rPr>
              <w:t>–13</w:t>
            </w:r>
            <w:r>
              <w:rPr>
                <w:rFonts w:eastAsia="Calibri"/>
                <w:b/>
                <w:w w:val="90"/>
                <w:sz w:val="20"/>
                <w:vertAlign w:val="superscript"/>
              </w:rPr>
              <w:t>+6</w:t>
            </w:r>
          </w:p>
        </w:tc>
        <w:tc>
          <w:tcPr>
            <w:tcW w:w="1073" w:type="pct"/>
            <w:gridSpan w:val="3"/>
            <w:vAlign w:val="center"/>
          </w:tcPr>
          <w:p>
            <w:pPr>
              <w:tabs>
                <w:tab w:val="left" w:pos="6776"/>
              </w:tabs>
              <w:spacing w:line="276" w:lineRule="auto"/>
              <w:ind w:left="-47" w:right="-67"/>
              <w:jc w:val="center"/>
              <w:rPr>
                <w:rFonts w:eastAsia="Calibri"/>
                <w:b/>
                <w:w w:val="90"/>
                <w:sz w:val="20"/>
              </w:rPr>
            </w:pPr>
            <w:r>
              <w:rPr>
                <w:rFonts w:eastAsia="Calibri"/>
                <w:b/>
                <w:w w:val="90"/>
                <w:sz w:val="20"/>
              </w:rPr>
              <w:t>14–28</w:t>
            </w:r>
          </w:p>
        </w:tc>
        <w:tc>
          <w:tcPr>
            <w:tcW w:w="955" w:type="pct"/>
            <w:gridSpan w:val="3"/>
            <w:vAlign w:val="center"/>
          </w:tcPr>
          <w:p>
            <w:pPr>
              <w:tabs>
                <w:tab w:val="left" w:pos="6776"/>
              </w:tabs>
              <w:spacing w:line="276" w:lineRule="auto"/>
              <w:ind w:left="-47" w:right="-69"/>
              <w:jc w:val="center"/>
              <w:rPr>
                <w:rFonts w:eastAsia="Calibri"/>
                <w:b/>
                <w:w w:val="90"/>
                <w:sz w:val="20"/>
              </w:rPr>
            </w:pPr>
            <w:r>
              <w:rPr>
                <w:rFonts w:eastAsia="Calibri"/>
                <w:b/>
                <w:w w:val="90"/>
                <w:sz w:val="20"/>
              </w:rPr>
              <w:t>29–40</w:t>
            </w:r>
          </w:p>
        </w:tc>
        <w:tc>
          <w:tcPr>
            <w:tcW w:w="379" w:type="pct"/>
            <w:vAlign w:val="center"/>
          </w:tcPr>
          <w:p>
            <w:pPr>
              <w:tabs>
                <w:tab w:val="left" w:pos="6776"/>
              </w:tabs>
              <w:spacing w:line="276" w:lineRule="auto"/>
              <w:jc w:val="center"/>
              <w:rPr>
                <w:rFonts w:eastAsia="Calibri"/>
                <w:b/>
                <w:w w:val="90"/>
                <w:sz w:val="20"/>
              </w:rPr>
            </w:pPr>
            <w:r>
              <w:rPr>
                <w:rFonts w:eastAsia="Calibri"/>
                <w:b/>
                <w:w w:val="90"/>
                <w:sz w:val="20"/>
              </w:rPr>
              <w:t>≥41</w:t>
            </w:r>
          </w:p>
        </w:tc>
      </w:tr>
      <w:tr>
        <w:trPr>
          <w:trHeight w:val="242"/>
        </w:trPr>
        <w:tc>
          <w:tcPr>
            <w:tcW w:w="1952" w:type="pct"/>
            <w:vMerge/>
          </w:tcPr>
          <w:p>
            <w:pPr>
              <w:tabs>
                <w:tab w:val="left" w:pos="6776"/>
              </w:tabs>
              <w:spacing w:line="276" w:lineRule="auto"/>
              <w:jc w:val="center"/>
              <w:rPr>
                <w:rFonts w:ascii="Calibri" w:eastAsia="Calibri" w:hAnsi="Calibri"/>
                <w:sz w:val="20"/>
              </w:rPr>
            </w:pPr>
          </w:p>
        </w:tc>
        <w:tc>
          <w:tcPr>
            <w:tcW w:w="271" w:type="pct"/>
            <w:vMerge/>
            <w:vAlign w:val="center"/>
          </w:tcPr>
          <w:p>
            <w:pPr>
              <w:tabs>
                <w:tab w:val="left" w:pos="6776"/>
              </w:tabs>
              <w:spacing w:line="276" w:lineRule="auto"/>
              <w:ind w:left="-56" w:right="-60"/>
              <w:jc w:val="center"/>
              <w:rPr>
                <w:rFonts w:eastAsia="Calibri"/>
                <w:b/>
                <w:w w:val="90"/>
                <w:sz w:val="20"/>
              </w:rPr>
            </w:pPr>
          </w:p>
        </w:tc>
        <w:tc>
          <w:tcPr>
            <w:tcW w:w="370" w:type="pct"/>
            <w:vMerge/>
            <w:vAlign w:val="center"/>
          </w:tcPr>
          <w:p>
            <w:pPr>
              <w:tabs>
                <w:tab w:val="left" w:pos="6776"/>
              </w:tabs>
              <w:spacing w:line="276" w:lineRule="auto"/>
              <w:ind w:left="-54" w:right="-60"/>
              <w:jc w:val="center"/>
              <w:rPr>
                <w:rFonts w:eastAsia="Calibri"/>
                <w:b/>
                <w:w w:val="90"/>
                <w:sz w:val="20"/>
              </w:rPr>
            </w:pPr>
          </w:p>
        </w:tc>
        <w:tc>
          <w:tcPr>
            <w:tcW w:w="356" w:type="pct"/>
            <w:vAlign w:val="center"/>
          </w:tcPr>
          <w:p>
            <w:pPr>
              <w:tabs>
                <w:tab w:val="left" w:pos="6776"/>
              </w:tabs>
              <w:spacing w:line="276" w:lineRule="auto"/>
              <w:ind w:left="-47" w:right="-67"/>
              <w:jc w:val="center"/>
              <w:rPr>
                <w:rFonts w:eastAsia="Calibri"/>
                <w:b/>
                <w:w w:val="90"/>
                <w:sz w:val="20"/>
              </w:rPr>
            </w:pPr>
            <w:r>
              <w:rPr>
                <w:rFonts w:eastAsia="Calibri"/>
                <w:b/>
                <w:w w:val="90"/>
                <w:sz w:val="20"/>
              </w:rPr>
              <w:t>18</w:t>
            </w:r>
            <w:r>
              <w:rPr>
                <w:rFonts w:eastAsia="Calibri"/>
                <w:b/>
                <w:bCs/>
                <w:w w:val="90"/>
                <w:sz w:val="20"/>
                <w:vertAlign w:val="superscript"/>
              </w:rPr>
              <w:t>+0</w:t>
            </w:r>
            <w:r>
              <w:rPr>
                <w:rFonts w:eastAsia="Calibri"/>
                <w:b/>
                <w:w w:val="90"/>
                <w:sz w:val="20"/>
              </w:rPr>
              <w:t>–20</w:t>
            </w:r>
            <w:r>
              <w:rPr>
                <w:rFonts w:eastAsia="Calibri"/>
                <w:b/>
                <w:bCs/>
                <w:w w:val="90"/>
                <w:sz w:val="20"/>
                <w:vertAlign w:val="superscript"/>
              </w:rPr>
              <w:t>+0</w:t>
            </w:r>
          </w:p>
        </w:tc>
        <w:tc>
          <w:tcPr>
            <w:tcW w:w="334" w:type="pct"/>
            <w:vAlign w:val="center"/>
          </w:tcPr>
          <w:p>
            <w:pPr>
              <w:tabs>
                <w:tab w:val="left" w:pos="6776"/>
              </w:tabs>
              <w:spacing w:line="276" w:lineRule="auto"/>
              <w:ind w:left="-47" w:right="-67"/>
              <w:jc w:val="center"/>
              <w:rPr>
                <w:rFonts w:eastAsia="Calibri"/>
                <w:b/>
                <w:w w:val="90"/>
                <w:sz w:val="20"/>
              </w:rPr>
            </w:pPr>
            <w:r>
              <w:rPr>
                <w:rFonts w:eastAsia="Calibri"/>
                <w:b/>
                <w:w w:val="90"/>
                <w:sz w:val="20"/>
              </w:rPr>
              <w:t>24–28</w:t>
            </w:r>
          </w:p>
        </w:tc>
        <w:tc>
          <w:tcPr>
            <w:tcW w:w="383" w:type="pct"/>
            <w:vAlign w:val="center"/>
          </w:tcPr>
          <w:p>
            <w:pPr>
              <w:tabs>
                <w:tab w:val="left" w:pos="6776"/>
              </w:tabs>
              <w:spacing w:line="276" w:lineRule="auto"/>
              <w:ind w:left="-47" w:right="-67"/>
              <w:jc w:val="center"/>
              <w:rPr>
                <w:rFonts w:eastAsia="Calibri"/>
                <w:b/>
                <w:w w:val="90"/>
                <w:sz w:val="20"/>
              </w:rPr>
            </w:pPr>
            <w:r>
              <w:rPr>
                <w:rFonts w:eastAsia="Calibri"/>
                <w:b/>
                <w:w w:val="90"/>
                <w:sz w:val="20"/>
              </w:rPr>
              <w:t>27–28</w:t>
            </w:r>
          </w:p>
        </w:tc>
        <w:tc>
          <w:tcPr>
            <w:tcW w:w="318" w:type="pct"/>
            <w:vAlign w:val="center"/>
          </w:tcPr>
          <w:p>
            <w:pPr>
              <w:tabs>
                <w:tab w:val="left" w:pos="6776"/>
              </w:tabs>
              <w:spacing w:line="276" w:lineRule="auto"/>
              <w:ind w:left="-47" w:right="-69"/>
              <w:jc w:val="center"/>
              <w:rPr>
                <w:rFonts w:eastAsia="Calibri"/>
                <w:b/>
                <w:w w:val="90"/>
                <w:sz w:val="20"/>
              </w:rPr>
            </w:pPr>
          </w:p>
        </w:tc>
        <w:tc>
          <w:tcPr>
            <w:tcW w:w="317" w:type="pct"/>
            <w:vAlign w:val="center"/>
          </w:tcPr>
          <w:p>
            <w:pPr>
              <w:tabs>
                <w:tab w:val="left" w:pos="6776"/>
              </w:tabs>
              <w:spacing w:line="276" w:lineRule="auto"/>
              <w:ind w:left="-45" w:right="-74"/>
              <w:jc w:val="center"/>
              <w:rPr>
                <w:rFonts w:eastAsia="Calibri"/>
                <w:b/>
                <w:w w:val="90"/>
                <w:sz w:val="20"/>
              </w:rPr>
            </w:pPr>
            <w:r>
              <w:rPr>
                <w:rFonts w:eastAsia="Calibri"/>
                <w:b/>
                <w:w w:val="90"/>
                <w:sz w:val="20"/>
              </w:rPr>
              <w:t>35–37</w:t>
            </w:r>
          </w:p>
        </w:tc>
        <w:tc>
          <w:tcPr>
            <w:tcW w:w="320" w:type="pct"/>
            <w:vAlign w:val="center"/>
          </w:tcPr>
          <w:p>
            <w:pPr>
              <w:tabs>
                <w:tab w:val="left" w:pos="6776"/>
              </w:tabs>
              <w:spacing w:line="276" w:lineRule="auto"/>
              <w:ind w:left="-40" w:right="-77"/>
              <w:jc w:val="center"/>
              <w:rPr>
                <w:rFonts w:eastAsia="Calibri"/>
                <w:b/>
                <w:w w:val="90"/>
                <w:sz w:val="20"/>
              </w:rPr>
            </w:pPr>
          </w:p>
        </w:tc>
        <w:tc>
          <w:tcPr>
            <w:tcW w:w="379" w:type="pct"/>
            <w:vAlign w:val="center"/>
          </w:tcPr>
          <w:p>
            <w:pPr>
              <w:tabs>
                <w:tab w:val="left" w:pos="6776"/>
              </w:tabs>
              <w:spacing w:line="276" w:lineRule="auto"/>
              <w:jc w:val="center"/>
              <w:rPr>
                <w:rFonts w:eastAsia="Calibri"/>
                <w:b/>
                <w:w w:val="90"/>
                <w:sz w:val="20"/>
              </w:rPr>
            </w:pPr>
          </w:p>
        </w:tc>
      </w:tr>
      <w:tr>
        <w:trPr>
          <w:trHeight w:val="251"/>
        </w:trPr>
        <w:tc>
          <w:tcPr>
            <w:tcW w:w="1952" w:type="pct"/>
            <w:vAlign w:val="center"/>
          </w:tcPr>
          <w:p>
            <w:pPr>
              <w:rPr>
                <w:rFonts w:eastAsia="Calibri"/>
                <w:sz w:val="22"/>
                <w:szCs w:val="22"/>
              </w:rPr>
            </w:pPr>
            <w:r>
              <w:rPr>
                <w:rFonts w:eastAsia="Calibri"/>
                <w:sz w:val="22"/>
                <w:szCs w:val="22"/>
              </w:rPr>
              <w:t>Apsilankymai</w:t>
            </w:r>
          </w:p>
        </w:tc>
        <w:tc>
          <w:tcPr>
            <w:tcW w:w="271" w:type="pct"/>
            <w:shd w:val="clear" w:color="auto" w:fill="D9D9D9"/>
            <w:vAlign w:val="center"/>
          </w:tcPr>
          <w:p>
            <w:pPr>
              <w:jc w:val="center"/>
              <w:rPr>
                <w:rFonts w:eastAsia="Calibri"/>
                <w:sz w:val="22"/>
                <w:szCs w:val="22"/>
              </w:rPr>
            </w:pPr>
            <w:r>
              <w:rPr>
                <w:rFonts w:eastAsia="Calibri"/>
                <w:sz w:val="22"/>
                <w:szCs w:val="22"/>
              </w:rPr>
              <w:t>1</w:t>
            </w:r>
          </w:p>
        </w:tc>
        <w:tc>
          <w:tcPr>
            <w:tcW w:w="370" w:type="pct"/>
            <w:vAlign w:val="center"/>
          </w:tcPr>
          <w:p>
            <w:pPr>
              <w:jc w:val="center"/>
              <w:rPr>
                <w:rFonts w:eastAsia="Calibri"/>
                <w:sz w:val="22"/>
                <w:szCs w:val="22"/>
              </w:rPr>
            </w:pPr>
          </w:p>
        </w:tc>
        <w:tc>
          <w:tcPr>
            <w:tcW w:w="1073" w:type="pct"/>
            <w:gridSpan w:val="3"/>
            <w:shd w:val="clear" w:color="auto" w:fill="D9D9D9"/>
            <w:vAlign w:val="center"/>
          </w:tcPr>
          <w:p>
            <w:pPr>
              <w:jc w:val="center"/>
              <w:rPr>
                <w:rFonts w:eastAsia="Calibri"/>
                <w:sz w:val="22"/>
                <w:szCs w:val="22"/>
              </w:rPr>
            </w:pPr>
            <w:r>
              <w:rPr>
                <w:rFonts w:eastAsia="Calibri"/>
                <w:sz w:val="22"/>
                <w:szCs w:val="22"/>
              </w:rPr>
              <w:t>2</w:t>
            </w:r>
          </w:p>
        </w:tc>
        <w:tc>
          <w:tcPr>
            <w:tcW w:w="955" w:type="pct"/>
            <w:gridSpan w:val="3"/>
            <w:shd w:val="clear" w:color="auto" w:fill="D9D9D9"/>
            <w:vAlign w:val="center"/>
          </w:tcPr>
          <w:p>
            <w:pPr>
              <w:jc w:val="center"/>
              <w:rPr>
                <w:rFonts w:eastAsia="Calibri"/>
                <w:sz w:val="22"/>
                <w:szCs w:val="22"/>
              </w:rPr>
            </w:pPr>
            <w:r>
              <w:rPr>
                <w:rFonts w:eastAsia="Calibri"/>
                <w:sz w:val="22"/>
                <w:szCs w:val="22"/>
              </w:rPr>
              <w:t>2–3</w:t>
            </w:r>
          </w:p>
        </w:tc>
        <w:tc>
          <w:tcPr>
            <w:tcW w:w="379" w:type="pct"/>
            <w:shd w:val="clear" w:color="auto" w:fill="D9D9D9"/>
            <w:vAlign w:val="center"/>
          </w:tcPr>
          <w:p>
            <w:pPr>
              <w:jc w:val="center"/>
              <w:rPr>
                <w:rFonts w:eastAsia="Calibri"/>
                <w:sz w:val="22"/>
                <w:szCs w:val="22"/>
              </w:rPr>
            </w:pPr>
            <w:r>
              <w:rPr>
                <w:rFonts w:eastAsia="Calibri"/>
                <w:sz w:val="22"/>
                <w:szCs w:val="22"/>
              </w:rPr>
              <w:t>1</w:t>
            </w:r>
          </w:p>
        </w:tc>
      </w:tr>
      <w:tr>
        <w:trPr>
          <w:trHeight w:val="268"/>
        </w:trPr>
        <w:tc>
          <w:tcPr>
            <w:tcW w:w="1952" w:type="pct"/>
            <w:vAlign w:val="center"/>
          </w:tcPr>
          <w:p>
            <w:pPr>
              <w:rPr>
                <w:rFonts w:eastAsia="Calibri"/>
                <w:sz w:val="22"/>
                <w:szCs w:val="22"/>
              </w:rPr>
            </w:pPr>
            <w:r>
              <w:rPr>
                <w:rFonts w:eastAsia="Calibri"/>
                <w:sz w:val="22"/>
                <w:szCs w:val="22"/>
              </w:rPr>
              <w:t>Bendras kraujo tyrimas, RPR, ŽIV</w:t>
            </w:r>
          </w:p>
        </w:tc>
        <w:tc>
          <w:tcPr>
            <w:tcW w:w="271" w:type="pct"/>
            <w:shd w:val="clear" w:color="auto" w:fill="D9D9D9"/>
            <w:vAlign w:val="center"/>
          </w:tcPr>
          <w:p>
            <w:pPr>
              <w:jc w:val="center"/>
              <w:rPr>
                <w:rFonts w:eastAsia="Calibri"/>
                <w:sz w:val="22"/>
                <w:szCs w:val="22"/>
              </w:rPr>
            </w:pPr>
          </w:p>
        </w:tc>
        <w:tc>
          <w:tcPr>
            <w:tcW w:w="370" w:type="pct"/>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shd w:val="clear" w:color="auto" w:fill="D9D9D9"/>
            <w:vAlign w:val="center"/>
          </w:tcPr>
          <w:p>
            <w:pPr>
              <w:jc w:val="center"/>
              <w:rPr>
                <w:rFonts w:eastAsia="Calibri"/>
                <w:sz w:val="22"/>
                <w:szCs w:val="22"/>
              </w:rPr>
            </w:pPr>
            <w:r>
              <w:rPr>
                <w:rFonts w:eastAsia="Calibri"/>
                <w:sz w:val="22"/>
                <w:szCs w:val="22"/>
              </w:rPr>
              <w:t>32 sav.</w:t>
            </w: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282"/>
        </w:trPr>
        <w:tc>
          <w:tcPr>
            <w:tcW w:w="1952" w:type="pct"/>
            <w:vAlign w:val="center"/>
          </w:tcPr>
          <w:p>
            <w:pPr>
              <w:rPr>
                <w:rFonts w:eastAsia="Calibri"/>
                <w:sz w:val="22"/>
                <w:szCs w:val="22"/>
              </w:rPr>
            </w:pPr>
            <w:r>
              <w:rPr>
                <w:rFonts w:eastAsia="Calibri"/>
                <w:sz w:val="22"/>
                <w:szCs w:val="22"/>
              </w:rPr>
              <w:t>Gliukozės kraujo plazmoje nustatymas</w:t>
            </w:r>
          </w:p>
        </w:tc>
        <w:tc>
          <w:tcPr>
            <w:tcW w:w="271" w:type="pct"/>
            <w:shd w:val="clear" w:color="auto" w:fill="D9D9D9"/>
            <w:vAlign w:val="center"/>
          </w:tcPr>
          <w:p>
            <w:pPr>
              <w:jc w:val="center"/>
              <w:rPr>
                <w:rFonts w:eastAsia="Calibri"/>
                <w:sz w:val="22"/>
                <w:szCs w:val="22"/>
              </w:rPr>
            </w:pPr>
          </w:p>
        </w:tc>
        <w:tc>
          <w:tcPr>
            <w:tcW w:w="370" w:type="pct"/>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shd w:val="clear" w:color="auto" w:fill="D9D9D9"/>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276"/>
        </w:trPr>
        <w:tc>
          <w:tcPr>
            <w:tcW w:w="1952" w:type="pct"/>
            <w:vAlign w:val="center"/>
          </w:tcPr>
          <w:p>
            <w:pPr>
              <w:rPr>
                <w:rFonts w:eastAsia="Calibri"/>
                <w:sz w:val="22"/>
                <w:szCs w:val="22"/>
              </w:rPr>
            </w:pPr>
            <w:r>
              <w:rPr>
                <w:rFonts w:eastAsia="Calibri"/>
                <w:sz w:val="22"/>
                <w:szCs w:val="22"/>
              </w:rPr>
              <w:t>Kraujo tyrimas dėl hepatito B (HBsAg)</w:t>
            </w:r>
          </w:p>
        </w:tc>
        <w:tc>
          <w:tcPr>
            <w:tcW w:w="271" w:type="pct"/>
            <w:shd w:val="clear" w:color="auto" w:fill="D9D9D9"/>
            <w:vAlign w:val="center"/>
          </w:tcPr>
          <w:p>
            <w:pPr>
              <w:jc w:val="center"/>
              <w:rPr>
                <w:rFonts w:eastAsia="Calibri"/>
                <w:sz w:val="22"/>
                <w:szCs w:val="22"/>
              </w:rPr>
            </w:pPr>
          </w:p>
        </w:tc>
        <w:tc>
          <w:tcPr>
            <w:tcW w:w="370" w:type="pct"/>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shd w:val="clear" w:color="auto" w:fill="D9D9D9"/>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266"/>
        </w:trPr>
        <w:tc>
          <w:tcPr>
            <w:tcW w:w="1952" w:type="pct"/>
            <w:vAlign w:val="center"/>
          </w:tcPr>
          <w:p>
            <w:pPr>
              <w:rPr>
                <w:rFonts w:eastAsia="Calibri"/>
                <w:sz w:val="22"/>
                <w:szCs w:val="22"/>
              </w:rPr>
            </w:pPr>
            <w:r>
              <w:rPr>
                <w:rFonts w:eastAsia="Calibri"/>
                <w:sz w:val="22"/>
                <w:szCs w:val="22"/>
              </w:rPr>
              <w:t>Kraujo grupė ir Rh (D) faktorius</w:t>
            </w:r>
          </w:p>
        </w:tc>
        <w:tc>
          <w:tcPr>
            <w:tcW w:w="271" w:type="pct"/>
            <w:shd w:val="clear" w:color="auto" w:fill="D9D9D9"/>
            <w:vAlign w:val="center"/>
          </w:tcPr>
          <w:p>
            <w:pPr>
              <w:jc w:val="center"/>
              <w:rPr>
                <w:rFonts w:eastAsia="Calibri"/>
                <w:sz w:val="22"/>
                <w:szCs w:val="22"/>
              </w:rPr>
            </w:pPr>
          </w:p>
        </w:tc>
        <w:tc>
          <w:tcPr>
            <w:tcW w:w="370" w:type="pct"/>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shd w:val="clear" w:color="auto" w:fill="auto"/>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268"/>
        </w:trPr>
        <w:tc>
          <w:tcPr>
            <w:tcW w:w="1952" w:type="pct"/>
            <w:vAlign w:val="center"/>
          </w:tcPr>
          <w:p>
            <w:pPr>
              <w:rPr>
                <w:rFonts w:eastAsia="Calibri"/>
                <w:sz w:val="22"/>
                <w:szCs w:val="22"/>
              </w:rPr>
            </w:pPr>
            <w:r>
              <w:rPr>
                <w:rFonts w:eastAsia="Calibri"/>
                <w:sz w:val="22"/>
                <w:szCs w:val="22"/>
              </w:rPr>
              <w:t>Rh (D) antikūnų nustatymas**</w:t>
            </w:r>
          </w:p>
        </w:tc>
        <w:tc>
          <w:tcPr>
            <w:tcW w:w="271" w:type="pct"/>
            <w:shd w:val="clear" w:color="auto" w:fill="D9D9D9"/>
            <w:vAlign w:val="center"/>
          </w:tcPr>
          <w:p>
            <w:pPr>
              <w:jc w:val="center"/>
              <w:rPr>
                <w:rFonts w:eastAsia="Calibri"/>
                <w:sz w:val="22"/>
                <w:szCs w:val="22"/>
              </w:rPr>
            </w:pPr>
            <w:r>
              <w:rPr>
                <w:rFonts w:eastAsia="Calibri"/>
                <w:sz w:val="22"/>
                <w:szCs w:val="22"/>
              </w:rPr>
              <w:t>12 sav.</w:t>
            </w:r>
          </w:p>
        </w:tc>
        <w:tc>
          <w:tcPr>
            <w:tcW w:w="370" w:type="pct"/>
            <w:vAlign w:val="center"/>
          </w:tcPr>
          <w:p>
            <w:pPr>
              <w:jc w:val="center"/>
              <w:rPr>
                <w:rFonts w:eastAsia="Calibri"/>
                <w:sz w:val="22"/>
                <w:szCs w:val="22"/>
              </w:rPr>
            </w:pPr>
          </w:p>
        </w:tc>
        <w:tc>
          <w:tcPr>
            <w:tcW w:w="356" w:type="pct"/>
            <w:shd w:val="clear" w:color="auto" w:fill="auto"/>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D9D9D9"/>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456"/>
        </w:trPr>
        <w:tc>
          <w:tcPr>
            <w:tcW w:w="1952" w:type="pct"/>
            <w:vAlign w:val="center"/>
          </w:tcPr>
          <w:p>
            <w:pPr>
              <w:rPr>
                <w:rFonts w:eastAsia="Calibri"/>
                <w:sz w:val="22"/>
                <w:szCs w:val="22"/>
              </w:rPr>
            </w:pPr>
            <w:r>
              <w:rPr>
                <w:rFonts w:eastAsia="Calibri"/>
                <w:sz w:val="22"/>
                <w:szCs w:val="22"/>
              </w:rPr>
              <w:t>Šlapimo pasėlis besimptomei bakteriurijai nustatyti</w:t>
            </w:r>
          </w:p>
        </w:tc>
        <w:tc>
          <w:tcPr>
            <w:tcW w:w="641" w:type="pct"/>
            <w:gridSpan w:val="2"/>
            <w:shd w:val="clear" w:color="auto" w:fill="D9D9D9"/>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95"/>
        </w:trPr>
        <w:tc>
          <w:tcPr>
            <w:tcW w:w="1952" w:type="pct"/>
            <w:vAlign w:val="center"/>
          </w:tcPr>
          <w:p>
            <w:pPr>
              <w:rPr>
                <w:rFonts w:eastAsia="Calibri"/>
                <w:sz w:val="22"/>
                <w:szCs w:val="22"/>
              </w:rPr>
            </w:pPr>
            <w:r>
              <w:rPr>
                <w:rFonts w:eastAsia="Calibri"/>
                <w:sz w:val="22"/>
                <w:szCs w:val="22"/>
              </w:rPr>
              <w:t>Vaisiaus ultragarsinis tyrimas</w:t>
            </w:r>
          </w:p>
        </w:tc>
        <w:tc>
          <w:tcPr>
            <w:tcW w:w="271" w:type="pct"/>
            <w:vAlign w:val="center"/>
          </w:tcPr>
          <w:p>
            <w:pPr>
              <w:jc w:val="center"/>
              <w:rPr>
                <w:rFonts w:eastAsia="Calibri"/>
                <w:sz w:val="22"/>
                <w:szCs w:val="22"/>
              </w:rPr>
            </w:pPr>
          </w:p>
        </w:tc>
        <w:tc>
          <w:tcPr>
            <w:tcW w:w="370" w:type="pct"/>
            <w:shd w:val="clear" w:color="auto" w:fill="D9D9D9"/>
            <w:vAlign w:val="center"/>
          </w:tcPr>
          <w:p>
            <w:pPr>
              <w:jc w:val="center"/>
              <w:rPr>
                <w:rFonts w:eastAsia="Calibri"/>
                <w:sz w:val="22"/>
                <w:szCs w:val="22"/>
              </w:rPr>
            </w:pPr>
          </w:p>
        </w:tc>
        <w:tc>
          <w:tcPr>
            <w:tcW w:w="356" w:type="pct"/>
            <w:shd w:val="clear" w:color="auto" w:fill="D9D9D9"/>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shd w:val="clear" w:color="auto" w:fill="D9D9D9"/>
            <w:vAlign w:val="center"/>
          </w:tcPr>
          <w:p>
            <w:pPr>
              <w:jc w:val="center"/>
              <w:rPr>
                <w:rFonts w:eastAsia="Calibri"/>
                <w:sz w:val="22"/>
                <w:szCs w:val="22"/>
              </w:rPr>
            </w:pPr>
          </w:p>
        </w:tc>
      </w:tr>
      <w:tr>
        <w:trPr>
          <w:trHeight w:val="283"/>
        </w:trPr>
        <w:tc>
          <w:tcPr>
            <w:tcW w:w="1952" w:type="pct"/>
            <w:vAlign w:val="center"/>
          </w:tcPr>
          <w:p>
            <w:pPr>
              <w:rPr>
                <w:rFonts w:eastAsia="Calibri"/>
                <w:sz w:val="22"/>
                <w:szCs w:val="22"/>
              </w:rPr>
            </w:pPr>
            <w:r>
              <w:rPr>
                <w:rFonts w:eastAsia="Calibri"/>
                <w:sz w:val="22"/>
                <w:szCs w:val="22"/>
              </w:rPr>
              <w:t>Kardiotokograma</w:t>
            </w:r>
          </w:p>
        </w:tc>
        <w:tc>
          <w:tcPr>
            <w:tcW w:w="271" w:type="pct"/>
            <w:vAlign w:val="center"/>
          </w:tcPr>
          <w:p>
            <w:pPr>
              <w:jc w:val="center"/>
              <w:rPr>
                <w:rFonts w:eastAsia="Calibri"/>
                <w:sz w:val="22"/>
                <w:szCs w:val="22"/>
              </w:rPr>
            </w:pPr>
          </w:p>
        </w:tc>
        <w:tc>
          <w:tcPr>
            <w:tcW w:w="370" w:type="pct"/>
            <w:shd w:val="clear" w:color="auto" w:fill="auto"/>
            <w:vAlign w:val="center"/>
          </w:tcPr>
          <w:p>
            <w:pPr>
              <w:jc w:val="center"/>
              <w:rPr>
                <w:rFonts w:eastAsia="Calibri"/>
                <w:sz w:val="22"/>
                <w:szCs w:val="22"/>
              </w:rPr>
            </w:pPr>
          </w:p>
        </w:tc>
        <w:tc>
          <w:tcPr>
            <w:tcW w:w="356" w:type="pct"/>
            <w:shd w:val="clear" w:color="auto" w:fill="auto"/>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shd w:val="clear" w:color="auto" w:fill="D9D9D9"/>
            <w:vAlign w:val="center"/>
          </w:tcPr>
          <w:p>
            <w:pPr>
              <w:jc w:val="center"/>
              <w:rPr>
                <w:rFonts w:eastAsia="Calibri"/>
                <w:sz w:val="22"/>
                <w:szCs w:val="22"/>
              </w:rPr>
            </w:pPr>
          </w:p>
        </w:tc>
      </w:tr>
      <w:tr>
        <w:trPr>
          <w:trHeight w:val="274"/>
        </w:trPr>
        <w:tc>
          <w:tcPr>
            <w:tcW w:w="1952" w:type="pct"/>
            <w:vAlign w:val="center"/>
          </w:tcPr>
          <w:p>
            <w:pPr>
              <w:rPr>
                <w:rFonts w:eastAsia="Calibri"/>
                <w:sz w:val="22"/>
                <w:szCs w:val="22"/>
              </w:rPr>
            </w:pPr>
            <w:r>
              <w:rPr>
                <w:rFonts w:eastAsia="Calibri"/>
                <w:sz w:val="22"/>
                <w:szCs w:val="22"/>
              </w:rPr>
              <w:t>Gliukozės toleravimo mėginys</w:t>
            </w:r>
          </w:p>
        </w:tc>
        <w:tc>
          <w:tcPr>
            <w:tcW w:w="271" w:type="pct"/>
            <w:vAlign w:val="center"/>
          </w:tcPr>
          <w:p>
            <w:pPr>
              <w:jc w:val="center"/>
              <w:rPr>
                <w:rFonts w:eastAsia="Calibri"/>
                <w:sz w:val="22"/>
                <w:szCs w:val="22"/>
              </w:rPr>
            </w:pPr>
          </w:p>
        </w:tc>
        <w:tc>
          <w:tcPr>
            <w:tcW w:w="370" w:type="pct"/>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D9D9D9"/>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263"/>
        </w:trPr>
        <w:tc>
          <w:tcPr>
            <w:tcW w:w="1952" w:type="pct"/>
            <w:vAlign w:val="center"/>
          </w:tcPr>
          <w:p>
            <w:pPr>
              <w:rPr>
                <w:rFonts w:eastAsia="Calibri"/>
                <w:sz w:val="22"/>
                <w:szCs w:val="22"/>
              </w:rPr>
            </w:pPr>
            <w:r>
              <w:rPr>
                <w:rFonts w:eastAsia="Calibri"/>
                <w:sz w:val="22"/>
                <w:szCs w:val="22"/>
              </w:rPr>
              <w:t>Pasėlis dėl BGS infekcijos rizikos</w:t>
            </w:r>
          </w:p>
        </w:tc>
        <w:tc>
          <w:tcPr>
            <w:tcW w:w="271" w:type="pct"/>
            <w:vAlign w:val="center"/>
          </w:tcPr>
          <w:p>
            <w:pPr>
              <w:jc w:val="center"/>
              <w:rPr>
                <w:rFonts w:eastAsia="Calibri"/>
                <w:sz w:val="22"/>
                <w:szCs w:val="22"/>
              </w:rPr>
            </w:pPr>
          </w:p>
        </w:tc>
        <w:tc>
          <w:tcPr>
            <w:tcW w:w="370" w:type="pct"/>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shd w:val="clear" w:color="auto" w:fill="D9D9D9"/>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282"/>
        </w:trPr>
        <w:tc>
          <w:tcPr>
            <w:tcW w:w="1952" w:type="pct"/>
            <w:vAlign w:val="center"/>
          </w:tcPr>
          <w:p>
            <w:pPr>
              <w:rPr>
                <w:rFonts w:eastAsia="Calibri"/>
                <w:sz w:val="22"/>
                <w:szCs w:val="22"/>
              </w:rPr>
            </w:pPr>
            <w:r>
              <w:rPr>
                <w:rFonts w:eastAsia="Calibri"/>
                <w:sz w:val="22"/>
                <w:szCs w:val="22"/>
              </w:rPr>
              <w:t>Odontologo konsultacija</w:t>
            </w:r>
          </w:p>
        </w:tc>
        <w:tc>
          <w:tcPr>
            <w:tcW w:w="271" w:type="pct"/>
            <w:shd w:val="clear" w:color="auto" w:fill="D9D9D9"/>
            <w:vAlign w:val="center"/>
          </w:tcPr>
          <w:p>
            <w:pPr>
              <w:jc w:val="center"/>
              <w:rPr>
                <w:rFonts w:eastAsia="Calibri"/>
                <w:sz w:val="22"/>
                <w:szCs w:val="22"/>
              </w:rPr>
            </w:pPr>
          </w:p>
        </w:tc>
        <w:tc>
          <w:tcPr>
            <w:tcW w:w="370" w:type="pct"/>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286"/>
        </w:trPr>
        <w:tc>
          <w:tcPr>
            <w:tcW w:w="1952" w:type="pct"/>
            <w:vAlign w:val="center"/>
          </w:tcPr>
          <w:p>
            <w:pPr>
              <w:rPr>
                <w:rFonts w:eastAsia="Calibri"/>
                <w:bCs/>
                <w:sz w:val="22"/>
                <w:szCs w:val="22"/>
              </w:rPr>
            </w:pPr>
            <w:r>
              <w:rPr>
                <w:rFonts w:eastAsia="Calibri"/>
                <w:sz w:val="22"/>
                <w:szCs w:val="22"/>
              </w:rPr>
              <w:t>Vidaus ligų / šeimos gydytojo konsultacija</w:t>
            </w:r>
          </w:p>
        </w:tc>
        <w:tc>
          <w:tcPr>
            <w:tcW w:w="271" w:type="pct"/>
            <w:shd w:val="clear" w:color="auto" w:fill="D9D9D9"/>
            <w:vAlign w:val="center"/>
          </w:tcPr>
          <w:p>
            <w:pPr>
              <w:jc w:val="center"/>
              <w:rPr>
                <w:rFonts w:eastAsia="Calibri"/>
                <w:sz w:val="22"/>
                <w:szCs w:val="22"/>
              </w:rPr>
            </w:pPr>
          </w:p>
        </w:tc>
        <w:tc>
          <w:tcPr>
            <w:tcW w:w="370" w:type="pct"/>
            <w:vAlign w:val="center"/>
          </w:tcPr>
          <w:p>
            <w:pPr>
              <w:jc w:val="center"/>
              <w:rPr>
                <w:rFonts w:eastAsia="Calibri"/>
                <w:sz w:val="22"/>
                <w:szCs w:val="22"/>
              </w:rPr>
            </w:pPr>
          </w:p>
        </w:tc>
        <w:tc>
          <w:tcPr>
            <w:tcW w:w="356" w:type="pct"/>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vAlign w:val="center"/>
          </w:tcPr>
          <w:p>
            <w:pPr>
              <w:jc w:val="center"/>
              <w:rPr>
                <w:rFonts w:eastAsia="Calibri"/>
                <w:sz w:val="22"/>
                <w:szCs w:val="22"/>
              </w:rPr>
            </w:pPr>
          </w:p>
        </w:tc>
      </w:tr>
      <w:tr>
        <w:trPr>
          <w:trHeight w:val="456"/>
        </w:trPr>
        <w:tc>
          <w:tcPr>
            <w:tcW w:w="1952" w:type="pct"/>
            <w:vAlign w:val="center"/>
          </w:tcPr>
          <w:p>
            <w:pPr>
              <w:rPr>
                <w:rFonts w:eastAsia="Calibri"/>
                <w:sz w:val="22"/>
                <w:szCs w:val="22"/>
              </w:rPr>
            </w:pPr>
            <w:r>
              <w:rPr>
                <w:rFonts w:eastAsia="Calibri"/>
                <w:sz w:val="22"/>
                <w:szCs w:val="22"/>
              </w:rPr>
              <w:t>Gydytojo akušerio ginekologo konsultacija</w:t>
            </w:r>
          </w:p>
        </w:tc>
        <w:tc>
          <w:tcPr>
            <w:tcW w:w="271" w:type="pct"/>
            <w:shd w:val="clear" w:color="auto" w:fill="auto"/>
            <w:vAlign w:val="center"/>
          </w:tcPr>
          <w:p>
            <w:pPr>
              <w:jc w:val="center"/>
              <w:rPr>
                <w:rFonts w:eastAsia="Calibri"/>
                <w:sz w:val="22"/>
                <w:szCs w:val="22"/>
              </w:rPr>
            </w:pPr>
          </w:p>
        </w:tc>
        <w:tc>
          <w:tcPr>
            <w:tcW w:w="370" w:type="pct"/>
            <w:shd w:val="clear" w:color="auto" w:fill="D9D9D9"/>
            <w:vAlign w:val="center"/>
          </w:tcPr>
          <w:p>
            <w:pPr>
              <w:jc w:val="center"/>
              <w:rPr>
                <w:rFonts w:eastAsia="Calibri"/>
                <w:sz w:val="22"/>
                <w:szCs w:val="22"/>
              </w:rPr>
            </w:pPr>
          </w:p>
        </w:tc>
        <w:tc>
          <w:tcPr>
            <w:tcW w:w="356" w:type="pct"/>
            <w:shd w:val="clear" w:color="auto" w:fill="D9D9D9"/>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vAlign w:val="center"/>
          </w:tcPr>
          <w:p>
            <w:pPr>
              <w:jc w:val="center"/>
              <w:rPr>
                <w:rFonts w:eastAsia="Calibri"/>
                <w:sz w:val="22"/>
                <w:szCs w:val="22"/>
              </w:rPr>
            </w:pPr>
          </w:p>
        </w:tc>
        <w:tc>
          <w:tcPr>
            <w:tcW w:w="317" w:type="pct"/>
            <w:shd w:val="clear" w:color="auto" w:fill="D9D9D9"/>
            <w:vAlign w:val="center"/>
          </w:tcPr>
          <w:p>
            <w:pPr>
              <w:jc w:val="center"/>
              <w:rPr>
                <w:rFonts w:eastAsia="Calibri"/>
                <w:sz w:val="22"/>
                <w:szCs w:val="22"/>
              </w:rPr>
            </w:pPr>
          </w:p>
        </w:tc>
        <w:tc>
          <w:tcPr>
            <w:tcW w:w="320" w:type="pct"/>
            <w:vAlign w:val="center"/>
          </w:tcPr>
          <w:p>
            <w:pPr>
              <w:jc w:val="center"/>
              <w:rPr>
                <w:rFonts w:eastAsia="Calibri"/>
                <w:sz w:val="22"/>
                <w:szCs w:val="22"/>
              </w:rPr>
            </w:pPr>
          </w:p>
        </w:tc>
        <w:tc>
          <w:tcPr>
            <w:tcW w:w="379" w:type="pct"/>
            <w:shd w:val="clear" w:color="auto" w:fill="D9D9D9"/>
            <w:vAlign w:val="center"/>
          </w:tcPr>
          <w:p>
            <w:pPr>
              <w:jc w:val="center"/>
              <w:rPr>
                <w:rFonts w:eastAsia="Calibri"/>
                <w:sz w:val="22"/>
                <w:szCs w:val="22"/>
              </w:rPr>
            </w:pPr>
          </w:p>
        </w:tc>
      </w:tr>
      <w:tr>
        <w:trPr>
          <w:trHeight w:val="226"/>
        </w:trPr>
        <w:tc>
          <w:tcPr>
            <w:tcW w:w="1952" w:type="pct"/>
            <w:tcBorders>
              <w:top w:val="single" w:sz="4" w:space="0" w:color="auto"/>
              <w:bottom w:val="single" w:sz="4" w:space="0" w:color="auto"/>
            </w:tcBorders>
            <w:vAlign w:val="center"/>
          </w:tcPr>
          <w:p>
            <w:pPr>
              <w:rPr>
                <w:rFonts w:eastAsia="Calibri"/>
                <w:sz w:val="22"/>
                <w:szCs w:val="22"/>
              </w:rPr>
            </w:pPr>
            <w:r>
              <w:rPr>
                <w:rFonts w:eastAsia="Calibri"/>
                <w:sz w:val="22"/>
                <w:szCs w:val="22"/>
              </w:rPr>
              <w:t>Kitų specialistų konsultacijos</w:t>
            </w:r>
          </w:p>
        </w:tc>
        <w:tc>
          <w:tcPr>
            <w:tcW w:w="271" w:type="pct"/>
            <w:tcBorders>
              <w:top w:val="single" w:sz="4" w:space="0" w:color="auto"/>
              <w:bottom w:val="single" w:sz="4" w:space="0" w:color="auto"/>
            </w:tcBorders>
            <w:vAlign w:val="center"/>
          </w:tcPr>
          <w:p>
            <w:pPr>
              <w:jc w:val="center"/>
              <w:rPr>
                <w:rFonts w:eastAsia="Calibri"/>
                <w:sz w:val="22"/>
                <w:szCs w:val="22"/>
              </w:rPr>
            </w:pPr>
          </w:p>
        </w:tc>
        <w:tc>
          <w:tcPr>
            <w:tcW w:w="370" w:type="pct"/>
            <w:tcBorders>
              <w:top w:val="single" w:sz="4" w:space="0" w:color="auto"/>
              <w:bottom w:val="single" w:sz="4" w:space="0" w:color="auto"/>
            </w:tcBorders>
            <w:vAlign w:val="center"/>
          </w:tcPr>
          <w:p>
            <w:pPr>
              <w:jc w:val="center"/>
              <w:rPr>
                <w:rFonts w:eastAsia="Calibri"/>
                <w:sz w:val="22"/>
                <w:szCs w:val="22"/>
              </w:rPr>
            </w:pPr>
          </w:p>
        </w:tc>
        <w:tc>
          <w:tcPr>
            <w:tcW w:w="356" w:type="pct"/>
            <w:tcBorders>
              <w:top w:val="single" w:sz="4" w:space="0" w:color="auto"/>
              <w:bottom w:val="single" w:sz="4" w:space="0" w:color="auto"/>
            </w:tcBorders>
            <w:vAlign w:val="center"/>
          </w:tcPr>
          <w:p>
            <w:pPr>
              <w:jc w:val="center"/>
              <w:rPr>
                <w:rFonts w:eastAsia="Calibri"/>
                <w:sz w:val="22"/>
                <w:szCs w:val="22"/>
              </w:rPr>
            </w:pPr>
          </w:p>
        </w:tc>
        <w:tc>
          <w:tcPr>
            <w:tcW w:w="334" w:type="pct"/>
            <w:shd w:val="clear" w:color="auto" w:fill="auto"/>
            <w:vAlign w:val="center"/>
          </w:tcPr>
          <w:p>
            <w:pPr>
              <w:jc w:val="center"/>
              <w:rPr>
                <w:rFonts w:eastAsia="Calibri"/>
                <w:sz w:val="22"/>
                <w:szCs w:val="22"/>
              </w:rPr>
            </w:pPr>
          </w:p>
        </w:tc>
        <w:tc>
          <w:tcPr>
            <w:tcW w:w="383" w:type="pct"/>
            <w:shd w:val="clear" w:color="auto" w:fill="auto"/>
            <w:vAlign w:val="center"/>
          </w:tcPr>
          <w:p>
            <w:pPr>
              <w:jc w:val="center"/>
              <w:rPr>
                <w:rFonts w:eastAsia="Calibri"/>
                <w:sz w:val="22"/>
                <w:szCs w:val="22"/>
              </w:rPr>
            </w:pPr>
          </w:p>
        </w:tc>
        <w:tc>
          <w:tcPr>
            <w:tcW w:w="318" w:type="pct"/>
            <w:tcBorders>
              <w:top w:val="single" w:sz="4" w:space="0" w:color="auto"/>
              <w:bottom w:val="single" w:sz="4" w:space="0" w:color="auto"/>
            </w:tcBorders>
            <w:vAlign w:val="center"/>
          </w:tcPr>
          <w:p>
            <w:pPr>
              <w:jc w:val="center"/>
              <w:rPr>
                <w:rFonts w:eastAsia="Calibri"/>
                <w:sz w:val="22"/>
                <w:szCs w:val="22"/>
              </w:rPr>
            </w:pPr>
          </w:p>
        </w:tc>
        <w:tc>
          <w:tcPr>
            <w:tcW w:w="317" w:type="pct"/>
            <w:tcBorders>
              <w:top w:val="single" w:sz="4" w:space="0" w:color="auto"/>
              <w:bottom w:val="single" w:sz="4" w:space="0" w:color="auto"/>
            </w:tcBorders>
            <w:vAlign w:val="center"/>
          </w:tcPr>
          <w:p>
            <w:pPr>
              <w:jc w:val="center"/>
              <w:rPr>
                <w:rFonts w:eastAsia="Calibri"/>
                <w:sz w:val="22"/>
                <w:szCs w:val="22"/>
              </w:rPr>
            </w:pPr>
          </w:p>
        </w:tc>
        <w:tc>
          <w:tcPr>
            <w:tcW w:w="320" w:type="pct"/>
            <w:tcBorders>
              <w:top w:val="single" w:sz="4" w:space="0" w:color="auto"/>
              <w:bottom w:val="single" w:sz="4" w:space="0" w:color="auto"/>
            </w:tcBorders>
            <w:vAlign w:val="center"/>
          </w:tcPr>
          <w:p>
            <w:pPr>
              <w:jc w:val="center"/>
              <w:rPr>
                <w:rFonts w:eastAsia="Calibri"/>
                <w:sz w:val="22"/>
                <w:szCs w:val="22"/>
              </w:rPr>
            </w:pPr>
          </w:p>
        </w:tc>
        <w:tc>
          <w:tcPr>
            <w:tcW w:w="379" w:type="pct"/>
            <w:tcBorders>
              <w:top w:val="single" w:sz="4" w:space="0" w:color="auto"/>
              <w:bottom w:val="single" w:sz="4" w:space="0" w:color="auto"/>
            </w:tcBorders>
            <w:shd w:val="clear" w:color="auto" w:fill="auto"/>
            <w:vAlign w:val="center"/>
          </w:tcPr>
          <w:p>
            <w:pPr>
              <w:jc w:val="center"/>
              <w:rPr>
                <w:rFonts w:eastAsia="Calibri"/>
                <w:sz w:val="22"/>
                <w:szCs w:val="22"/>
              </w:rPr>
            </w:pPr>
          </w:p>
        </w:tc>
      </w:tr>
    </w:tbl>
    <w:p>
      <w:pPr>
        <w:spacing w:line="276" w:lineRule="auto"/>
        <w:rPr>
          <w:rFonts w:ascii="Calibri" w:eastAsia="Calibri" w:hAnsi="Calibri"/>
          <w:sz w:val="22"/>
          <w:szCs w:val="22"/>
        </w:rPr>
      </w:pPr>
    </w:p>
    <w:p>
      <w:pPr>
        <w:spacing w:line="276" w:lineRule="auto"/>
        <w:rPr>
          <w:rFonts w:ascii="Calibri" w:eastAsia="Calibri" w:hAnsi="Calibri"/>
          <w:sz w:val="22"/>
          <w:szCs w:val="22"/>
        </w:rPr>
      </w:pPr>
    </w:p>
    <w:p>
      <w:pPr>
        <w:spacing w:line="276" w:lineRule="auto"/>
        <w:ind w:left="-993"/>
        <w:rPr>
          <w:rFonts w:eastAsia="Calibri"/>
          <w:szCs w:val="24"/>
        </w:rPr>
      </w:pPr>
      <w:r>
        <w:rPr>
          <w:rFonts w:eastAsia="Calibri"/>
          <w:szCs w:val="24"/>
        </w:rPr>
        <w:t>RIZIKOS LYGIAI:</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9175"/>
      </w:tblGrid>
      <w:tr>
        <w:tc>
          <w:tcPr>
            <w:tcW w:w="1560" w:type="dxa"/>
            <w:vAlign w:val="center"/>
          </w:tcPr>
          <w:p>
            <w:pPr>
              <w:jc w:val="center"/>
              <w:rPr>
                <w:rFonts w:eastAsia="Calibri"/>
                <w:sz w:val="28"/>
                <w:szCs w:val="28"/>
              </w:rPr>
            </w:pPr>
            <w:r>
              <w:rPr>
                <w:rFonts w:eastAsia="Calibri"/>
                <w:sz w:val="28"/>
                <w:szCs w:val="28"/>
              </w:rPr>
              <w:t>0</w:t>
            </w:r>
          </w:p>
        </w:tc>
        <w:tc>
          <w:tcPr>
            <w:tcW w:w="9654" w:type="dxa"/>
          </w:tcPr>
          <w:p>
            <w:pPr>
              <w:tabs>
                <w:tab w:val="left" w:pos="720"/>
              </w:tabs>
              <w:ind w:left="720" w:right="191" w:hanging="720"/>
              <w:jc w:val="both"/>
              <w:rPr>
                <w:rFonts w:eastAsia="Calibri"/>
                <w:sz w:val="22"/>
                <w:szCs w:val="22"/>
              </w:rPr>
            </w:pPr>
            <w:r>
              <w:rPr>
                <w:rFonts w:eastAsia="Calibri"/>
                <w:sz w:val="22"/>
                <w:szCs w:val="22"/>
              </w:rPr>
              <w:t>1.</w:t>
              <w:tab/>
              <w:t xml:space="preserve">Nėštumas praeina be didesnių ar rimtesnių komplikacijų, o iškilus sveikatos problemoms, nėščioji turi galimybę iš karto gauti būtiną medicininę ir sveikatos priežiūros pagalbą. Atsakingai lankosi pas nėštumą prižiūrintį gydytoją, laikosi jo duotų rekomendacijų, gydytojas keičiamas tik dėl objektyvių priežasčių (gyvenamosios vietos keitimas ir pan.). </w:t>
            </w:r>
          </w:p>
          <w:p>
            <w:pPr>
              <w:tabs>
                <w:tab w:val="left" w:pos="720"/>
              </w:tabs>
              <w:ind w:left="720" w:right="191" w:hanging="720"/>
              <w:jc w:val="both"/>
              <w:rPr>
                <w:rFonts w:eastAsia="Calibri"/>
                <w:sz w:val="22"/>
                <w:szCs w:val="22"/>
              </w:rPr>
            </w:pPr>
            <w:r>
              <w:rPr>
                <w:rFonts w:eastAsia="Calibri"/>
                <w:sz w:val="22"/>
                <w:szCs w:val="22"/>
              </w:rPr>
              <w:t>2.</w:t>
              <w:tab/>
              <w:t>Nėščioji turi priėjimą prie visų jai būtinų sveikatos priežiūros ir nėštumo priežiūros paslaugų.</w:t>
            </w:r>
          </w:p>
          <w:p>
            <w:pPr>
              <w:tabs>
                <w:tab w:val="left" w:pos="720"/>
              </w:tabs>
              <w:ind w:left="720" w:right="191" w:hanging="720"/>
              <w:jc w:val="both"/>
              <w:rPr>
                <w:rFonts w:eastAsia="Calibri"/>
                <w:sz w:val="22"/>
                <w:szCs w:val="22"/>
              </w:rPr>
            </w:pPr>
            <w:r>
              <w:rPr>
                <w:rFonts w:eastAsia="Calibri"/>
                <w:sz w:val="22"/>
                <w:szCs w:val="22"/>
              </w:rPr>
              <w:t>3.</w:t>
              <w:tab/>
              <w:t>Nėščioji neturi fizinės, psichinės ar proto negalios, ar kompleksinės negalios, neturi sveikatos sutrikimų, lėtinių ligų, nėra išgyvenusi stiprių ilgalaikių ar ūmių stresų.</w:t>
            </w:r>
          </w:p>
        </w:tc>
      </w:tr>
      <w:tr>
        <w:tc>
          <w:tcPr>
            <w:tcW w:w="1560" w:type="dxa"/>
            <w:vAlign w:val="center"/>
          </w:tcPr>
          <w:p>
            <w:pPr>
              <w:jc w:val="center"/>
              <w:rPr>
                <w:rFonts w:eastAsia="Calibri"/>
                <w:sz w:val="28"/>
                <w:szCs w:val="28"/>
              </w:rPr>
            </w:pPr>
            <w:r>
              <w:rPr>
                <w:rFonts w:eastAsia="Calibri"/>
                <w:sz w:val="28"/>
                <w:szCs w:val="28"/>
              </w:rPr>
              <w:t>1</w:t>
            </w:r>
          </w:p>
        </w:tc>
        <w:tc>
          <w:tcPr>
            <w:tcW w:w="9654" w:type="dxa"/>
          </w:tcPr>
          <w:p>
            <w:pPr>
              <w:tabs>
                <w:tab w:val="left" w:pos="720"/>
              </w:tabs>
              <w:ind w:left="720" w:right="191" w:hanging="720"/>
              <w:jc w:val="both"/>
              <w:rPr>
                <w:rFonts w:eastAsia="Calibri"/>
                <w:sz w:val="22"/>
                <w:szCs w:val="22"/>
              </w:rPr>
            </w:pPr>
            <w:r>
              <w:rPr>
                <w:rFonts w:eastAsia="Calibri"/>
                <w:sz w:val="22"/>
                <w:szCs w:val="22"/>
              </w:rPr>
              <w:t>1.</w:t>
              <w:tab/>
              <w:t>Nors nėštumo metu kyla sveikatos komplikacijų, nėščioji turi galimybę iš karto gauti būtiną medicininę ir sveikatos priežiūros pagalbą, komplikacijos nesukelia jokių ilgalaikių pasekmių. Nėščioji atsakingai lankosi pas nėštumą prižiūrintį gydytoją, tačiau atpažįsta situacijas, kai nesikreipia į gydytoją laiku.</w:t>
            </w:r>
          </w:p>
          <w:p>
            <w:pPr>
              <w:tabs>
                <w:tab w:val="left" w:pos="720"/>
              </w:tabs>
              <w:ind w:left="720" w:right="191" w:hanging="720"/>
              <w:jc w:val="both"/>
              <w:rPr>
                <w:rFonts w:eastAsia="Calibri"/>
                <w:sz w:val="22"/>
                <w:szCs w:val="22"/>
              </w:rPr>
            </w:pPr>
            <w:r>
              <w:rPr>
                <w:rFonts w:eastAsia="Calibri"/>
                <w:sz w:val="22"/>
                <w:szCs w:val="22"/>
              </w:rPr>
              <w:t>2.</w:t>
              <w:tab/>
              <w:t>Nėščioji turi priėjimą prie didžiumos reikalingų paslaugų, tačiau atpažįstamos situacijos, kai tam tikrų paslaugų trūksta arba, nėščiajai trūksta informacijos ir gebėjimų (pvz., valstybinės kalbos nemokėjimas), kur ji galėtų kreiptis dėl paslaugų.</w:t>
            </w:r>
          </w:p>
          <w:p>
            <w:pPr>
              <w:tabs>
                <w:tab w:val="left" w:pos="720"/>
              </w:tabs>
              <w:ind w:left="720" w:right="191" w:hanging="720"/>
              <w:jc w:val="both"/>
              <w:rPr>
                <w:rFonts w:eastAsia="Calibri"/>
                <w:sz w:val="22"/>
                <w:szCs w:val="22"/>
              </w:rPr>
            </w:pPr>
            <w:r>
              <w:rPr>
                <w:rFonts w:eastAsia="Calibri"/>
                <w:sz w:val="22"/>
                <w:szCs w:val="22"/>
              </w:rPr>
              <w:t>3.</w:t>
              <w:tab/>
              <w:t>Nėščioji turi fizinę ar lengvą psichinę negalią, arba tam tikrų sveikatos sutrikimų, lėtinių ligų, tačiau gauna visą reikalingą pagalbą ir paslaugas, kurios leidžia spręsti sveikatos problemas, sėkmingai funkcionuoti savarankiškai.</w:t>
            </w:r>
          </w:p>
        </w:tc>
      </w:tr>
      <w:tr>
        <w:tc>
          <w:tcPr>
            <w:tcW w:w="1560" w:type="dxa"/>
            <w:vAlign w:val="center"/>
          </w:tcPr>
          <w:p>
            <w:pPr>
              <w:jc w:val="center"/>
              <w:rPr>
                <w:rFonts w:eastAsia="Calibri"/>
                <w:sz w:val="28"/>
                <w:szCs w:val="28"/>
              </w:rPr>
            </w:pPr>
            <w:r>
              <w:rPr>
                <w:rFonts w:eastAsia="Calibri"/>
                <w:sz w:val="28"/>
                <w:szCs w:val="28"/>
              </w:rPr>
              <w:t>2</w:t>
            </w:r>
          </w:p>
        </w:tc>
        <w:tc>
          <w:tcPr>
            <w:tcW w:w="9654" w:type="dxa"/>
          </w:tcPr>
          <w:p>
            <w:pPr>
              <w:tabs>
                <w:tab w:val="left" w:pos="720"/>
              </w:tabs>
              <w:ind w:left="720" w:right="191" w:hanging="720"/>
              <w:jc w:val="both"/>
              <w:rPr>
                <w:rFonts w:eastAsia="Calibri"/>
                <w:sz w:val="22"/>
                <w:szCs w:val="22"/>
              </w:rPr>
            </w:pPr>
            <w:r>
              <w:rPr>
                <w:rFonts w:eastAsia="Calibri"/>
                <w:sz w:val="22"/>
                <w:szCs w:val="22"/>
              </w:rPr>
              <w:t>1.</w:t>
              <w:tab/>
              <w:t>Nėštumo metu kyla komplikacijų, turinčių ilgalaikes pasekmes nėščiosios ar kūdikio sveikatai, nėščioji neturi galimybės iš karto gauti būtiną medicininę ir sveikatos priežiūros pagalbą. Periodiškai pasitaiko situacijos, kai nėščioji nesikreipia reikalingos pagalbos ar nesilanko pas nėštumą prižiūrintį gydytoją arba ignoruoja jo teikiamas rekomendacijas ir nesuvokia tokio elgesio rizikos. Specialistas keičiamas keičiamas(-i) dėl subjektyvių priežasčių (pvz., konfliktinių santykių su specialistais, siekio nuslėpti šeimos ir (ar) nėščiosios gyvenimo situaciją, kt.).</w:t>
            </w:r>
          </w:p>
          <w:p>
            <w:pPr>
              <w:tabs>
                <w:tab w:val="left" w:pos="720"/>
              </w:tabs>
              <w:ind w:left="720" w:right="191" w:hanging="720"/>
              <w:jc w:val="both"/>
              <w:rPr>
                <w:rFonts w:eastAsia="Calibri"/>
                <w:sz w:val="22"/>
                <w:szCs w:val="22"/>
              </w:rPr>
            </w:pPr>
            <w:r>
              <w:rPr>
                <w:rFonts w:eastAsia="Calibri"/>
                <w:sz w:val="22"/>
                <w:szCs w:val="22"/>
              </w:rPr>
              <w:t>2.</w:t>
              <w:tab/>
              <w:t>Nėščiajai trūksta priėjimo prie didelės dalies jai būtinų sveikatos priežiūros ir nėštumo priežiūros paslaugų.</w:t>
            </w:r>
          </w:p>
          <w:p>
            <w:pPr>
              <w:tabs>
                <w:tab w:val="left" w:pos="720"/>
              </w:tabs>
              <w:ind w:left="720" w:right="191" w:hanging="720"/>
              <w:jc w:val="both"/>
              <w:rPr>
                <w:rFonts w:eastAsia="Calibri"/>
                <w:sz w:val="22"/>
                <w:szCs w:val="22"/>
              </w:rPr>
            </w:pPr>
            <w:r>
              <w:rPr>
                <w:rFonts w:eastAsia="Calibri"/>
                <w:sz w:val="22"/>
                <w:szCs w:val="22"/>
              </w:rPr>
              <w:t>3.</w:t>
              <w:tab/>
              <w:t>Nėščioji turi ilgalaikių sveikatos sutrikimų, lėtinių ligų galinčių turėti ilgalaikių pasekmių kūdikio sveikatai. Nėščioji turi vidutinę ar sunkią fizinę arba vidutinę psichinę ar proto negalią. Nėščioji yra išgyvenusi ūmių / ilgalaikių stresų palikusių pasekmes jos sveikatai.</w:t>
            </w:r>
          </w:p>
        </w:tc>
      </w:tr>
      <w:tr>
        <w:trPr>
          <w:trHeight w:val="1748"/>
        </w:trPr>
        <w:tc>
          <w:tcPr>
            <w:tcW w:w="1560" w:type="dxa"/>
            <w:vAlign w:val="center"/>
          </w:tcPr>
          <w:p>
            <w:pPr>
              <w:jc w:val="center"/>
              <w:rPr>
                <w:rFonts w:eastAsia="Calibri"/>
                <w:sz w:val="28"/>
                <w:szCs w:val="28"/>
              </w:rPr>
            </w:pPr>
            <w:r>
              <w:rPr>
                <w:rFonts w:eastAsia="Calibri"/>
                <w:sz w:val="28"/>
                <w:szCs w:val="28"/>
              </w:rPr>
              <w:t>3</w:t>
            </w:r>
          </w:p>
        </w:tc>
        <w:tc>
          <w:tcPr>
            <w:tcW w:w="9654" w:type="dxa"/>
          </w:tcPr>
          <w:p>
            <w:pPr>
              <w:tabs>
                <w:tab w:val="left" w:pos="720"/>
              </w:tabs>
              <w:ind w:left="720" w:right="191" w:hanging="720"/>
              <w:jc w:val="both"/>
              <w:rPr>
                <w:rFonts w:eastAsia="Calibri"/>
                <w:sz w:val="22"/>
                <w:szCs w:val="22"/>
              </w:rPr>
            </w:pPr>
            <w:r>
              <w:rPr>
                <w:rFonts w:eastAsia="Calibri"/>
                <w:sz w:val="22"/>
                <w:szCs w:val="22"/>
              </w:rPr>
              <w:t>1.</w:t>
              <w:tab/>
              <w:t xml:space="preserve">Nėštumo metu iškila rimtų komplikacijų keliančių grėsmę kūdikio ar nėščiosios gyvybei/ sveikatai. Nėščioji neturi galimybės laiku gauti būtiną medicininę ir sveikatos priežiūros pagalbą, vengia kreiptis į specialistus, slepia savo būklę, ignoruoja poreikį stebėti nėštumo eigą. Net jei specialistai epizodiškai aplankomi, jie nuolat keičiami be aiškių priežasčių. </w:t>
            </w:r>
          </w:p>
          <w:p>
            <w:pPr>
              <w:tabs>
                <w:tab w:val="left" w:pos="720"/>
              </w:tabs>
              <w:ind w:left="720" w:right="191" w:hanging="720"/>
              <w:jc w:val="both"/>
              <w:rPr>
                <w:rFonts w:eastAsia="Calibri"/>
                <w:sz w:val="22"/>
                <w:szCs w:val="22"/>
              </w:rPr>
            </w:pPr>
            <w:r>
              <w:rPr>
                <w:rFonts w:eastAsia="Calibri"/>
                <w:sz w:val="22"/>
                <w:szCs w:val="22"/>
              </w:rPr>
              <w:t>2.</w:t>
              <w:tab/>
              <w:t>Nėščioji neturi priėjimo prie jokių ar turi priėjimą prie labai ribotų jai būtinų sveikatos priežiūros ir nėštumo priežiūros paslaugų.</w:t>
            </w:r>
          </w:p>
          <w:p>
            <w:pPr>
              <w:tabs>
                <w:tab w:val="left" w:pos="720"/>
              </w:tabs>
              <w:ind w:left="720" w:right="191" w:hanging="720"/>
              <w:jc w:val="both"/>
              <w:rPr>
                <w:rFonts w:eastAsia="Calibri"/>
                <w:sz w:val="22"/>
                <w:szCs w:val="22"/>
              </w:rPr>
            </w:pPr>
            <w:r>
              <w:rPr>
                <w:rFonts w:eastAsia="Calibri"/>
                <w:sz w:val="22"/>
                <w:szCs w:val="22"/>
              </w:rPr>
              <w:t>3.</w:t>
              <w:tab/>
              <w:t>Nėščioji turi sunkią fizinę, psichinę, proto ar kompleksinę negalią. Pergyvena stiprius ūmius ar ilgalaikius stresus nėštumo metu. Nėščioji neturi jokios galimybės gauti savalaikę medicinos/ sveikatos priežiūros pagalbą arba visiškai ignoruoja sveikatos grėsmes savo / kūdikio sveikatai.</w:t>
            </w:r>
          </w:p>
        </w:tc>
      </w:tr>
    </w:tbl>
    <w:p>
      <w:pPr>
        <w:suppressAutoHyphens/>
        <w:rPr>
          <w:color w:val="000000"/>
          <w:szCs w:val="24"/>
        </w:rPr>
      </w:pPr>
      <w:r>
        <w:rPr>
          <w:color w:val="000000"/>
          <w:szCs w:val="24"/>
        </w:rPr>
        <w:t xml:space="preserve">Pastabos: klausimyną pildo šeimų lankymo specialistas </w:t>
      </w:r>
    </w:p>
    <w:p>
      <w:pPr>
        <w:suppressAutoHyphens/>
        <w:ind w:left="2592"/>
        <w:rPr>
          <w:szCs w:val="24"/>
        </w:rPr>
      </w:pPr>
      <w:r>
        <w:rPr>
          <w:color w:val="000000"/>
          <w:szCs w:val="24"/>
        </w:rPr>
        <w:t>________________</w:t>
      </w:r>
    </w:p>
    <w:sectPr>
      <w:headerReference w:type="even" r:id="rId10"/>
      <w:headerReference w:type="default" r:id="rId11"/>
      <w:footerReference w:type="even" r:id="rId12"/>
      <w:footerReference w:type="default" r:id="rId13"/>
      <w:headerReference w:type="first" r:id="rId14"/>
      <w:footerReference w:type="first" r:id="rId15"/>
      <w:pgSz w:w="11906" w:h="16838"/>
      <w:pgMar w:top="1255"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ind w:firstLine="720"/>
        <w:rPr>
          <w:rFonts w:ascii="Arial" w:hAnsi="Arial"/>
          <w:sz w:val="20"/>
        </w:rPr>
      </w:pPr>
      <w:r>
        <w:rPr>
          <w:rFonts w:ascii="Arial" w:hAnsi="Arial"/>
          <w:sz w:val="20"/>
        </w:rPr>
        <w:separator/>
      </w:r>
    </w:p>
  </w:endnote>
  <w:endnote w:type="continuationSeparator" w:id="0">
    <w:p>
      <w:pPr>
        <w:ind w:firstLine="720"/>
        <w:rPr>
          <w:rFonts w:ascii="Arial" w:hAnsi="Arial"/>
          <w:sz w:val="20"/>
        </w:rPr>
      </w:pPr>
      <w:r>
        <w:rPr>
          <w:rFonts w:ascii="Arial" w:hAnsi="Arial"/>
          <w:sz w:val="20"/>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IDFont+F3">
    <w:altName w:val="Yu Gothic UI"/>
    <w:panose1 w:val="00000000000000000000"/>
    <w:charset w:val="80"/>
    <w:family w:val="auto"/>
    <w:notTrueType/>
    <w:pitch w:val="default"/>
    <w:sig w:usb0="00000001" w:usb1="08070000" w:usb2="00000010" w:usb3="00000000" w:csb0="00020000" w:csb1="00000000"/>
  </w:font>
  <w:font w:name="Yu Gothic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ind w:firstLine="720"/>
        <w:rPr>
          <w:rFonts w:ascii="Arial" w:hAnsi="Arial"/>
          <w:sz w:val="20"/>
        </w:rPr>
      </w:pPr>
      <w:r>
        <w:rPr>
          <w:rFonts w:ascii="Arial" w:hAnsi="Arial"/>
          <w:sz w:val="20"/>
        </w:rPr>
        <w:separator/>
      </w:r>
    </w:p>
  </w:footnote>
  <w:footnote w:type="continuationSeparator" w:id="0">
    <w:p>
      <w:pPr>
        <w:ind w:firstLine="720"/>
        <w:rPr>
          <w:rFonts w:ascii="Arial" w:hAnsi="Arial"/>
          <w:sz w:val="20"/>
        </w:rPr>
      </w:pPr>
      <w:r>
        <w:rPr>
          <w:rFonts w:ascii="Arial" w:hAnsi="Arial"/>
          <w:sz w:val="20"/>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jc w:val="center"/>
      <w:rPr>
        <w:rFonts w:ascii="Arial" w:hAnsi="Arial"/>
        <w:sz w:val="20"/>
      </w:rPr>
    </w:pPr>
    <w:r>
      <w:rPr>
        <w:rFonts w:ascii="Arial" w:hAnsi="Arial"/>
        <w:sz w:val="20"/>
      </w:rPr>
      <w:fldChar w:fldCharType="begin"/>
    </w:r>
    <w:r>
      <w:rPr>
        <w:rFonts w:ascii="Arial" w:hAnsi="Arial"/>
        <w:sz w:val="20"/>
      </w:rPr>
      <w:instrText>PAGE   \* MERGEFORMAT</w:instrText>
    </w:r>
    <w:r>
      <w:rPr>
        <w:rFonts w:ascii="Arial" w:hAnsi="Arial"/>
        <w:sz w:val="20"/>
      </w:rPr>
      <w:fldChar w:fldCharType="separate"/>
    </w:r>
    <w:r>
      <w:rPr>
        <w:rFonts w:ascii="Arial" w:hAnsi="Arial"/>
        <w:sz w:val="20"/>
      </w:rPr>
      <w:t>2</w:t>
    </w:r>
    <w:r>
      <w:rPr>
        <w:rFonts w:ascii="Arial" w:hAnsi="Arial"/>
        <w:sz w:val="20"/>
      </w:rPr>
      <w:fldChar w:fldCharType="end"/>
    </w:r>
  </w:p>
  <w:p>
    <w:pPr>
      <w:tabs>
        <w:tab w:val="center" w:pos="4819"/>
        <w:tab w:val="right" w:pos="9638"/>
      </w:tabs>
      <w:ind w:firstLine="720"/>
      <w:jc w:val="cente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4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BE219299-CD11-4845-8B84-0130C513745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4235883">
      <w:bodyDiv w:val="1"/>
      <w:marLeft w:val="0"/>
      <w:marRight w:val="0"/>
      <w:marTop w:val="0"/>
      <w:marBottom w:val="0"/>
      <w:divBdr>
        <w:top w:val="none" w:sz="0" w:space="0" w:color="auto"/>
        <w:left w:val="none" w:sz="0" w:space="0" w:color="auto"/>
        <w:bottom w:val="none" w:sz="0" w:space="0" w:color="auto"/>
        <w:right w:val="none" w:sz="0" w:space="0" w:color="auto"/>
      </w:divBdr>
    </w:div>
    <w:div w:id="44524569">
      <w:bodyDiv w:val="1"/>
      <w:marLeft w:val="0"/>
      <w:marRight w:val="0"/>
      <w:marTop w:val="0"/>
      <w:marBottom w:val="0"/>
      <w:divBdr>
        <w:top w:val="none" w:sz="0" w:space="0" w:color="auto"/>
        <w:left w:val="none" w:sz="0" w:space="0" w:color="auto"/>
        <w:bottom w:val="none" w:sz="0" w:space="0" w:color="auto"/>
        <w:right w:val="none" w:sz="0" w:space="0" w:color="auto"/>
      </w:divBdr>
    </w:div>
    <w:div w:id="120926656">
      <w:bodyDiv w:val="1"/>
      <w:marLeft w:val="0"/>
      <w:marRight w:val="0"/>
      <w:marTop w:val="0"/>
      <w:marBottom w:val="0"/>
      <w:divBdr>
        <w:top w:val="none" w:sz="0" w:space="0" w:color="auto"/>
        <w:left w:val="none" w:sz="0" w:space="0" w:color="auto"/>
        <w:bottom w:val="none" w:sz="0" w:space="0" w:color="auto"/>
        <w:right w:val="none" w:sz="0" w:space="0" w:color="auto"/>
      </w:divBdr>
      <w:divsChild>
        <w:div w:id="1314719851">
          <w:marLeft w:val="0"/>
          <w:marRight w:val="0"/>
          <w:marTop w:val="0"/>
          <w:marBottom w:val="0"/>
          <w:divBdr>
            <w:top w:val="none" w:sz="0" w:space="0" w:color="auto"/>
            <w:left w:val="none" w:sz="0" w:space="0" w:color="auto"/>
            <w:bottom w:val="none" w:sz="0" w:space="0" w:color="auto"/>
            <w:right w:val="none" w:sz="0" w:space="0" w:color="auto"/>
          </w:divBdr>
          <w:divsChild>
            <w:div w:id="1721981019">
              <w:marLeft w:val="0"/>
              <w:marRight w:val="0"/>
              <w:marTop w:val="0"/>
              <w:marBottom w:val="0"/>
              <w:divBdr>
                <w:top w:val="none" w:sz="0" w:space="0" w:color="auto"/>
                <w:left w:val="none" w:sz="0" w:space="0" w:color="auto"/>
                <w:bottom w:val="none" w:sz="0" w:space="0" w:color="auto"/>
                <w:right w:val="none" w:sz="0" w:space="0" w:color="auto"/>
              </w:divBdr>
              <w:divsChild>
                <w:div w:id="737093621">
                  <w:marLeft w:val="0"/>
                  <w:marRight w:val="0"/>
                  <w:marTop w:val="0"/>
                  <w:marBottom w:val="0"/>
                  <w:divBdr>
                    <w:top w:val="none" w:sz="0" w:space="0" w:color="auto"/>
                    <w:left w:val="none" w:sz="0" w:space="0" w:color="auto"/>
                    <w:bottom w:val="none" w:sz="0" w:space="0" w:color="auto"/>
                    <w:right w:val="none" w:sz="0" w:space="0" w:color="auto"/>
                  </w:divBdr>
                </w:div>
                <w:div w:id="18516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4606">
      <w:bodyDiv w:val="1"/>
      <w:marLeft w:val="0"/>
      <w:marRight w:val="0"/>
      <w:marTop w:val="0"/>
      <w:marBottom w:val="0"/>
      <w:divBdr>
        <w:top w:val="none" w:sz="0" w:space="0" w:color="auto"/>
        <w:left w:val="none" w:sz="0" w:space="0" w:color="auto"/>
        <w:bottom w:val="none" w:sz="0" w:space="0" w:color="auto"/>
        <w:right w:val="none" w:sz="0" w:space="0" w:color="auto"/>
      </w:divBdr>
    </w:div>
    <w:div w:id="253245178">
      <w:bodyDiv w:val="1"/>
      <w:marLeft w:val="0"/>
      <w:marRight w:val="0"/>
      <w:marTop w:val="0"/>
      <w:marBottom w:val="0"/>
      <w:divBdr>
        <w:top w:val="none" w:sz="0" w:space="0" w:color="auto"/>
        <w:left w:val="none" w:sz="0" w:space="0" w:color="auto"/>
        <w:bottom w:val="none" w:sz="0" w:space="0" w:color="auto"/>
        <w:right w:val="none" w:sz="0" w:space="0" w:color="auto"/>
      </w:divBdr>
    </w:div>
    <w:div w:id="329991400">
      <w:bodyDiv w:val="1"/>
      <w:marLeft w:val="0"/>
      <w:marRight w:val="0"/>
      <w:marTop w:val="0"/>
      <w:marBottom w:val="0"/>
      <w:divBdr>
        <w:top w:val="none" w:sz="0" w:space="0" w:color="auto"/>
        <w:left w:val="none" w:sz="0" w:space="0" w:color="auto"/>
        <w:bottom w:val="none" w:sz="0" w:space="0" w:color="auto"/>
        <w:right w:val="none" w:sz="0" w:space="0" w:color="auto"/>
      </w:divBdr>
    </w:div>
    <w:div w:id="349378245">
      <w:bodyDiv w:val="1"/>
      <w:marLeft w:val="0"/>
      <w:marRight w:val="0"/>
      <w:marTop w:val="0"/>
      <w:marBottom w:val="0"/>
      <w:divBdr>
        <w:top w:val="none" w:sz="0" w:space="0" w:color="auto"/>
        <w:left w:val="none" w:sz="0" w:space="0" w:color="auto"/>
        <w:bottom w:val="none" w:sz="0" w:space="0" w:color="auto"/>
        <w:right w:val="none" w:sz="0" w:space="0" w:color="auto"/>
      </w:divBdr>
    </w:div>
    <w:div w:id="527136677">
      <w:bodyDiv w:val="1"/>
      <w:marLeft w:val="0"/>
      <w:marRight w:val="0"/>
      <w:marTop w:val="0"/>
      <w:marBottom w:val="0"/>
      <w:divBdr>
        <w:top w:val="none" w:sz="0" w:space="0" w:color="auto"/>
        <w:left w:val="none" w:sz="0" w:space="0" w:color="auto"/>
        <w:bottom w:val="none" w:sz="0" w:space="0" w:color="auto"/>
        <w:right w:val="none" w:sz="0" w:space="0" w:color="auto"/>
      </w:divBdr>
    </w:div>
    <w:div w:id="549728912">
      <w:bodyDiv w:val="1"/>
      <w:marLeft w:val="0"/>
      <w:marRight w:val="0"/>
      <w:marTop w:val="0"/>
      <w:marBottom w:val="0"/>
      <w:divBdr>
        <w:top w:val="none" w:sz="0" w:space="0" w:color="auto"/>
        <w:left w:val="none" w:sz="0" w:space="0" w:color="auto"/>
        <w:bottom w:val="none" w:sz="0" w:space="0" w:color="auto"/>
        <w:right w:val="none" w:sz="0" w:space="0" w:color="auto"/>
      </w:divBdr>
    </w:div>
    <w:div w:id="773138046">
      <w:bodyDiv w:val="1"/>
      <w:marLeft w:val="0"/>
      <w:marRight w:val="0"/>
      <w:marTop w:val="0"/>
      <w:marBottom w:val="0"/>
      <w:divBdr>
        <w:top w:val="none" w:sz="0" w:space="0" w:color="auto"/>
        <w:left w:val="none" w:sz="0" w:space="0" w:color="auto"/>
        <w:bottom w:val="none" w:sz="0" w:space="0" w:color="auto"/>
        <w:right w:val="none" w:sz="0" w:space="0" w:color="auto"/>
      </w:divBdr>
    </w:div>
    <w:div w:id="867835784">
      <w:bodyDiv w:val="1"/>
      <w:marLeft w:val="0"/>
      <w:marRight w:val="0"/>
      <w:marTop w:val="0"/>
      <w:marBottom w:val="0"/>
      <w:divBdr>
        <w:top w:val="none" w:sz="0" w:space="0" w:color="auto"/>
        <w:left w:val="none" w:sz="0" w:space="0" w:color="auto"/>
        <w:bottom w:val="none" w:sz="0" w:space="0" w:color="auto"/>
        <w:right w:val="none" w:sz="0" w:space="0" w:color="auto"/>
      </w:divBdr>
    </w:div>
    <w:div w:id="893195353">
      <w:bodyDiv w:val="1"/>
      <w:marLeft w:val="0"/>
      <w:marRight w:val="0"/>
      <w:marTop w:val="0"/>
      <w:marBottom w:val="0"/>
      <w:divBdr>
        <w:top w:val="none" w:sz="0" w:space="0" w:color="auto"/>
        <w:left w:val="none" w:sz="0" w:space="0" w:color="auto"/>
        <w:bottom w:val="none" w:sz="0" w:space="0" w:color="auto"/>
        <w:right w:val="none" w:sz="0" w:space="0" w:color="auto"/>
      </w:divBdr>
    </w:div>
    <w:div w:id="924917457">
      <w:bodyDiv w:val="1"/>
      <w:marLeft w:val="0"/>
      <w:marRight w:val="0"/>
      <w:marTop w:val="0"/>
      <w:marBottom w:val="0"/>
      <w:divBdr>
        <w:top w:val="none" w:sz="0" w:space="0" w:color="auto"/>
        <w:left w:val="none" w:sz="0" w:space="0" w:color="auto"/>
        <w:bottom w:val="none" w:sz="0" w:space="0" w:color="auto"/>
        <w:right w:val="none" w:sz="0" w:space="0" w:color="auto"/>
      </w:divBdr>
    </w:div>
    <w:div w:id="926379439">
      <w:bodyDiv w:val="1"/>
      <w:marLeft w:val="0"/>
      <w:marRight w:val="0"/>
      <w:marTop w:val="0"/>
      <w:marBottom w:val="0"/>
      <w:divBdr>
        <w:top w:val="none" w:sz="0" w:space="0" w:color="auto"/>
        <w:left w:val="none" w:sz="0" w:space="0" w:color="auto"/>
        <w:bottom w:val="none" w:sz="0" w:space="0" w:color="auto"/>
        <w:right w:val="none" w:sz="0" w:space="0" w:color="auto"/>
      </w:divBdr>
    </w:div>
    <w:div w:id="988438102">
      <w:bodyDiv w:val="1"/>
      <w:marLeft w:val="0"/>
      <w:marRight w:val="0"/>
      <w:marTop w:val="0"/>
      <w:marBottom w:val="0"/>
      <w:divBdr>
        <w:top w:val="none" w:sz="0" w:space="0" w:color="auto"/>
        <w:left w:val="none" w:sz="0" w:space="0" w:color="auto"/>
        <w:bottom w:val="none" w:sz="0" w:space="0" w:color="auto"/>
        <w:right w:val="none" w:sz="0" w:space="0" w:color="auto"/>
      </w:divBdr>
    </w:div>
    <w:div w:id="1050421854">
      <w:bodyDiv w:val="1"/>
      <w:marLeft w:val="0"/>
      <w:marRight w:val="0"/>
      <w:marTop w:val="0"/>
      <w:marBottom w:val="0"/>
      <w:divBdr>
        <w:top w:val="none" w:sz="0" w:space="0" w:color="auto"/>
        <w:left w:val="none" w:sz="0" w:space="0" w:color="auto"/>
        <w:bottom w:val="none" w:sz="0" w:space="0" w:color="auto"/>
        <w:right w:val="none" w:sz="0" w:space="0" w:color="auto"/>
      </w:divBdr>
      <w:divsChild>
        <w:div w:id="122432957">
          <w:marLeft w:val="0"/>
          <w:marRight w:val="0"/>
          <w:marTop w:val="0"/>
          <w:marBottom w:val="0"/>
          <w:divBdr>
            <w:top w:val="none" w:sz="0" w:space="0" w:color="auto"/>
            <w:left w:val="none" w:sz="0" w:space="0" w:color="auto"/>
            <w:bottom w:val="none" w:sz="0" w:space="0" w:color="auto"/>
            <w:right w:val="none" w:sz="0" w:space="0" w:color="auto"/>
          </w:divBdr>
          <w:divsChild>
            <w:div w:id="1104496248">
              <w:marLeft w:val="0"/>
              <w:marRight w:val="0"/>
              <w:marTop w:val="0"/>
              <w:marBottom w:val="0"/>
              <w:divBdr>
                <w:top w:val="none" w:sz="0" w:space="0" w:color="auto"/>
                <w:left w:val="none" w:sz="0" w:space="0" w:color="auto"/>
                <w:bottom w:val="none" w:sz="0" w:space="0" w:color="auto"/>
                <w:right w:val="none" w:sz="0" w:space="0" w:color="auto"/>
              </w:divBdr>
              <w:divsChild>
                <w:div w:id="1933203927">
                  <w:marLeft w:val="0"/>
                  <w:marRight w:val="0"/>
                  <w:marTop w:val="0"/>
                  <w:marBottom w:val="0"/>
                  <w:divBdr>
                    <w:top w:val="none" w:sz="0" w:space="0" w:color="auto"/>
                    <w:left w:val="none" w:sz="0" w:space="0" w:color="auto"/>
                    <w:bottom w:val="none" w:sz="0" w:space="0" w:color="auto"/>
                    <w:right w:val="none" w:sz="0" w:space="0" w:color="auto"/>
                  </w:divBdr>
                  <w:divsChild>
                    <w:div w:id="995185606">
                      <w:marLeft w:val="0"/>
                      <w:marRight w:val="0"/>
                      <w:marTop w:val="0"/>
                      <w:marBottom w:val="0"/>
                      <w:divBdr>
                        <w:top w:val="none" w:sz="0" w:space="0" w:color="auto"/>
                        <w:left w:val="none" w:sz="0" w:space="0" w:color="auto"/>
                        <w:bottom w:val="none" w:sz="0" w:space="0" w:color="auto"/>
                        <w:right w:val="none" w:sz="0" w:space="0" w:color="auto"/>
                      </w:divBdr>
                      <w:divsChild>
                        <w:div w:id="4883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855">
      <w:bodyDiv w:val="1"/>
      <w:marLeft w:val="0"/>
      <w:marRight w:val="0"/>
      <w:marTop w:val="0"/>
      <w:marBottom w:val="0"/>
      <w:divBdr>
        <w:top w:val="none" w:sz="0" w:space="0" w:color="auto"/>
        <w:left w:val="none" w:sz="0" w:space="0" w:color="auto"/>
        <w:bottom w:val="none" w:sz="0" w:space="0" w:color="auto"/>
        <w:right w:val="none" w:sz="0" w:space="0" w:color="auto"/>
      </w:divBdr>
    </w:div>
    <w:div w:id="1069618394">
      <w:bodyDiv w:val="1"/>
      <w:marLeft w:val="0"/>
      <w:marRight w:val="0"/>
      <w:marTop w:val="0"/>
      <w:marBottom w:val="0"/>
      <w:divBdr>
        <w:top w:val="none" w:sz="0" w:space="0" w:color="auto"/>
        <w:left w:val="none" w:sz="0" w:space="0" w:color="auto"/>
        <w:bottom w:val="none" w:sz="0" w:space="0" w:color="auto"/>
        <w:right w:val="none" w:sz="0" w:space="0" w:color="auto"/>
      </w:divBdr>
    </w:div>
    <w:div w:id="1087460107">
      <w:bodyDiv w:val="1"/>
      <w:marLeft w:val="0"/>
      <w:marRight w:val="0"/>
      <w:marTop w:val="0"/>
      <w:marBottom w:val="0"/>
      <w:divBdr>
        <w:top w:val="none" w:sz="0" w:space="0" w:color="auto"/>
        <w:left w:val="none" w:sz="0" w:space="0" w:color="auto"/>
        <w:bottom w:val="none" w:sz="0" w:space="0" w:color="auto"/>
        <w:right w:val="none" w:sz="0" w:space="0" w:color="auto"/>
      </w:divBdr>
      <w:divsChild>
        <w:div w:id="1320689679">
          <w:marLeft w:val="0"/>
          <w:marRight w:val="0"/>
          <w:marTop w:val="0"/>
          <w:marBottom w:val="0"/>
          <w:divBdr>
            <w:top w:val="none" w:sz="0" w:space="0" w:color="auto"/>
            <w:left w:val="none" w:sz="0" w:space="0" w:color="auto"/>
            <w:bottom w:val="none" w:sz="0" w:space="0" w:color="auto"/>
            <w:right w:val="none" w:sz="0" w:space="0" w:color="auto"/>
          </w:divBdr>
        </w:div>
        <w:div w:id="1975481843">
          <w:marLeft w:val="0"/>
          <w:marRight w:val="0"/>
          <w:marTop w:val="0"/>
          <w:marBottom w:val="0"/>
          <w:divBdr>
            <w:top w:val="none" w:sz="0" w:space="0" w:color="auto"/>
            <w:left w:val="none" w:sz="0" w:space="0" w:color="auto"/>
            <w:bottom w:val="none" w:sz="0" w:space="0" w:color="auto"/>
            <w:right w:val="none" w:sz="0" w:space="0" w:color="auto"/>
          </w:divBdr>
        </w:div>
        <w:div w:id="599527629">
          <w:marLeft w:val="0"/>
          <w:marRight w:val="0"/>
          <w:marTop w:val="0"/>
          <w:marBottom w:val="0"/>
          <w:divBdr>
            <w:top w:val="none" w:sz="0" w:space="0" w:color="auto"/>
            <w:left w:val="none" w:sz="0" w:space="0" w:color="auto"/>
            <w:bottom w:val="none" w:sz="0" w:space="0" w:color="auto"/>
            <w:right w:val="none" w:sz="0" w:space="0" w:color="auto"/>
          </w:divBdr>
        </w:div>
        <w:div w:id="267929378">
          <w:marLeft w:val="0"/>
          <w:marRight w:val="0"/>
          <w:marTop w:val="0"/>
          <w:marBottom w:val="0"/>
          <w:divBdr>
            <w:top w:val="none" w:sz="0" w:space="0" w:color="auto"/>
            <w:left w:val="none" w:sz="0" w:space="0" w:color="auto"/>
            <w:bottom w:val="none" w:sz="0" w:space="0" w:color="auto"/>
            <w:right w:val="none" w:sz="0" w:space="0" w:color="auto"/>
          </w:divBdr>
        </w:div>
        <w:div w:id="228077518">
          <w:marLeft w:val="0"/>
          <w:marRight w:val="0"/>
          <w:marTop w:val="0"/>
          <w:marBottom w:val="0"/>
          <w:divBdr>
            <w:top w:val="none" w:sz="0" w:space="0" w:color="auto"/>
            <w:left w:val="none" w:sz="0" w:space="0" w:color="auto"/>
            <w:bottom w:val="none" w:sz="0" w:space="0" w:color="auto"/>
            <w:right w:val="none" w:sz="0" w:space="0" w:color="auto"/>
          </w:divBdr>
        </w:div>
        <w:div w:id="324403879">
          <w:marLeft w:val="0"/>
          <w:marRight w:val="0"/>
          <w:marTop w:val="0"/>
          <w:marBottom w:val="0"/>
          <w:divBdr>
            <w:top w:val="none" w:sz="0" w:space="0" w:color="auto"/>
            <w:left w:val="none" w:sz="0" w:space="0" w:color="auto"/>
            <w:bottom w:val="none" w:sz="0" w:space="0" w:color="auto"/>
            <w:right w:val="none" w:sz="0" w:space="0" w:color="auto"/>
          </w:divBdr>
        </w:div>
      </w:divsChild>
    </w:div>
    <w:div w:id="1103381991">
      <w:bodyDiv w:val="1"/>
      <w:marLeft w:val="0"/>
      <w:marRight w:val="0"/>
      <w:marTop w:val="0"/>
      <w:marBottom w:val="0"/>
      <w:divBdr>
        <w:top w:val="none" w:sz="0" w:space="0" w:color="auto"/>
        <w:left w:val="none" w:sz="0" w:space="0" w:color="auto"/>
        <w:bottom w:val="none" w:sz="0" w:space="0" w:color="auto"/>
        <w:right w:val="none" w:sz="0" w:space="0" w:color="auto"/>
      </w:divBdr>
    </w:div>
    <w:div w:id="1106773918">
      <w:bodyDiv w:val="1"/>
      <w:marLeft w:val="0"/>
      <w:marRight w:val="0"/>
      <w:marTop w:val="0"/>
      <w:marBottom w:val="0"/>
      <w:divBdr>
        <w:top w:val="none" w:sz="0" w:space="0" w:color="auto"/>
        <w:left w:val="none" w:sz="0" w:space="0" w:color="auto"/>
        <w:bottom w:val="none" w:sz="0" w:space="0" w:color="auto"/>
        <w:right w:val="none" w:sz="0" w:space="0" w:color="auto"/>
      </w:divBdr>
    </w:div>
    <w:div w:id="1268658358">
      <w:bodyDiv w:val="1"/>
      <w:marLeft w:val="0"/>
      <w:marRight w:val="0"/>
      <w:marTop w:val="0"/>
      <w:marBottom w:val="0"/>
      <w:divBdr>
        <w:top w:val="none" w:sz="0" w:space="0" w:color="auto"/>
        <w:left w:val="none" w:sz="0" w:space="0" w:color="auto"/>
        <w:bottom w:val="none" w:sz="0" w:space="0" w:color="auto"/>
        <w:right w:val="none" w:sz="0" w:space="0" w:color="auto"/>
      </w:divBdr>
    </w:div>
    <w:div w:id="1325205208">
      <w:bodyDiv w:val="1"/>
      <w:marLeft w:val="0"/>
      <w:marRight w:val="0"/>
      <w:marTop w:val="0"/>
      <w:marBottom w:val="0"/>
      <w:divBdr>
        <w:top w:val="none" w:sz="0" w:space="0" w:color="auto"/>
        <w:left w:val="none" w:sz="0" w:space="0" w:color="auto"/>
        <w:bottom w:val="none" w:sz="0" w:space="0" w:color="auto"/>
        <w:right w:val="none" w:sz="0" w:space="0" w:color="auto"/>
      </w:divBdr>
    </w:div>
    <w:div w:id="1422945570">
      <w:bodyDiv w:val="1"/>
      <w:marLeft w:val="0"/>
      <w:marRight w:val="0"/>
      <w:marTop w:val="0"/>
      <w:marBottom w:val="0"/>
      <w:divBdr>
        <w:top w:val="none" w:sz="0" w:space="0" w:color="auto"/>
        <w:left w:val="none" w:sz="0" w:space="0" w:color="auto"/>
        <w:bottom w:val="none" w:sz="0" w:space="0" w:color="auto"/>
        <w:right w:val="none" w:sz="0" w:space="0" w:color="auto"/>
      </w:divBdr>
    </w:div>
    <w:div w:id="1454327711">
      <w:bodyDiv w:val="1"/>
      <w:marLeft w:val="0"/>
      <w:marRight w:val="0"/>
      <w:marTop w:val="0"/>
      <w:marBottom w:val="0"/>
      <w:divBdr>
        <w:top w:val="none" w:sz="0" w:space="0" w:color="auto"/>
        <w:left w:val="none" w:sz="0" w:space="0" w:color="auto"/>
        <w:bottom w:val="none" w:sz="0" w:space="0" w:color="auto"/>
        <w:right w:val="none" w:sz="0" w:space="0" w:color="auto"/>
      </w:divBdr>
    </w:div>
    <w:div w:id="1492863920">
      <w:bodyDiv w:val="1"/>
      <w:marLeft w:val="0"/>
      <w:marRight w:val="0"/>
      <w:marTop w:val="0"/>
      <w:marBottom w:val="0"/>
      <w:divBdr>
        <w:top w:val="none" w:sz="0" w:space="0" w:color="auto"/>
        <w:left w:val="none" w:sz="0" w:space="0" w:color="auto"/>
        <w:bottom w:val="none" w:sz="0" w:space="0" w:color="auto"/>
        <w:right w:val="none" w:sz="0" w:space="0" w:color="auto"/>
      </w:divBdr>
    </w:div>
    <w:div w:id="1566641010">
      <w:bodyDiv w:val="1"/>
      <w:marLeft w:val="0"/>
      <w:marRight w:val="0"/>
      <w:marTop w:val="0"/>
      <w:marBottom w:val="0"/>
      <w:divBdr>
        <w:top w:val="none" w:sz="0" w:space="0" w:color="auto"/>
        <w:left w:val="none" w:sz="0" w:space="0" w:color="auto"/>
        <w:bottom w:val="none" w:sz="0" w:space="0" w:color="auto"/>
        <w:right w:val="none" w:sz="0" w:space="0" w:color="auto"/>
      </w:divBdr>
    </w:div>
    <w:div w:id="1574242188">
      <w:bodyDiv w:val="1"/>
      <w:marLeft w:val="0"/>
      <w:marRight w:val="0"/>
      <w:marTop w:val="0"/>
      <w:marBottom w:val="0"/>
      <w:divBdr>
        <w:top w:val="none" w:sz="0" w:space="0" w:color="auto"/>
        <w:left w:val="none" w:sz="0" w:space="0" w:color="auto"/>
        <w:bottom w:val="none" w:sz="0" w:space="0" w:color="auto"/>
        <w:right w:val="none" w:sz="0" w:space="0" w:color="auto"/>
      </w:divBdr>
    </w:div>
    <w:div w:id="1648239942">
      <w:bodyDiv w:val="1"/>
      <w:marLeft w:val="0"/>
      <w:marRight w:val="0"/>
      <w:marTop w:val="0"/>
      <w:marBottom w:val="0"/>
      <w:divBdr>
        <w:top w:val="none" w:sz="0" w:space="0" w:color="auto"/>
        <w:left w:val="none" w:sz="0" w:space="0" w:color="auto"/>
        <w:bottom w:val="none" w:sz="0" w:space="0" w:color="auto"/>
        <w:right w:val="none" w:sz="0" w:space="0" w:color="auto"/>
      </w:divBdr>
    </w:div>
    <w:div w:id="1655573148">
      <w:bodyDiv w:val="1"/>
      <w:marLeft w:val="0"/>
      <w:marRight w:val="0"/>
      <w:marTop w:val="0"/>
      <w:marBottom w:val="0"/>
      <w:divBdr>
        <w:top w:val="none" w:sz="0" w:space="0" w:color="auto"/>
        <w:left w:val="none" w:sz="0" w:space="0" w:color="auto"/>
        <w:bottom w:val="none" w:sz="0" w:space="0" w:color="auto"/>
        <w:right w:val="none" w:sz="0" w:space="0" w:color="auto"/>
      </w:divBdr>
    </w:div>
    <w:div w:id="1677802933">
      <w:bodyDiv w:val="1"/>
      <w:marLeft w:val="0"/>
      <w:marRight w:val="0"/>
      <w:marTop w:val="0"/>
      <w:marBottom w:val="0"/>
      <w:divBdr>
        <w:top w:val="none" w:sz="0" w:space="0" w:color="auto"/>
        <w:left w:val="none" w:sz="0" w:space="0" w:color="auto"/>
        <w:bottom w:val="none" w:sz="0" w:space="0" w:color="auto"/>
        <w:right w:val="none" w:sz="0" w:space="0" w:color="auto"/>
      </w:divBdr>
    </w:div>
    <w:div w:id="1708021394">
      <w:bodyDiv w:val="1"/>
      <w:marLeft w:val="0"/>
      <w:marRight w:val="0"/>
      <w:marTop w:val="0"/>
      <w:marBottom w:val="0"/>
      <w:divBdr>
        <w:top w:val="none" w:sz="0" w:space="0" w:color="auto"/>
        <w:left w:val="none" w:sz="0" w:space="0" w:color="auto"/>
        <w:bottom w:val="none" w:sz="0" w:space="0" w:color="auto"/>
        <w:right w:val="none" w:sz="0" w:space="0" w:color="auto"/>
      </w:divBdr>
    </w:div>
    <w:div w:id="1719011114">
      <w:bodyDiv w:val="1"/>
      <w:marLeft w:val="0"/>
      <w:marRight w:val="0"/>
      <w:marTop w:val="0"/>
      <w:marBottom w:val="0"/>
      <w:divBdr>
        <w:top w:val="none" w:sz="0" w:space="0" w:color="auto"/>
        <w:left w:val="none" w:sz="0" w:space="0" w:color="auto"/>
        <w:bottom w:val="none" w:sz="0" w:space="0" w:color="auto"/>
        <w:right w:val="none" w:sz="0" w:space="0" w:color="auto"/>
      </w:divBdr>
    </w:div>
    <w:div w:id="1746410681">
      <w:bodyDiv w:val="1"/>
      <w:marLeft w:val="0"/>
      <w:marRight w:val="0"/>
      <w:marTop w:val="0"/>
      <w:marBottom w:val="0"/>
      <w:divBdr>
        <w:top w:val="none" w:sz="0" w:space="0" w:color="auto"/>
        <w:left w:val="none" w:sz="0" w:space="0" w:color="auto"/>
        <w:bottom w:val="none" w:sz="0" w:space="0" w:color="auto"/>
        <w:right w:val="none" w:sz="0" w:space="0" w:color="auto"/>
      </w:divBdr>
    </w:div>
    <w:div w:id="1772429177">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33471509">
      <w:bodyDiv w:val="1"/>
      <w:marLeft w:val="0"/>
      <w:marRight w:val="0"/>
      <w:marTop w:val="0"/>
      <w:marBottom w:val="0"/>
      <w:divBdr>
        <w:top w:val="none" w:sz="0" w:space="0" w:color="auto"/>
        <w:left w:val="none" w:sz="0" w:space="0" w:color="auto"/>
        <w:bottom w:val="none" w:sz="0" w:space="0" w:color="auto"/>
        <w:right w:val="none" w:sz="0" w:space="0" w:color="auto"/>
      </w:divBdr>
    </w:div>
    <w:div w:id="1976719410">
      <w:bodyDiv w:val="1"/>
      <w:marLeft w:val="0"/>
      <w:marRight w:val="0"/>
      <w:marTop w:val="0"/>
      <w:marBottom w:val="0"/>
      <w:divBdr>
        <w:top w:val="none" w:sz="0" w:space="0" w:color="auto"/>
        <w:left w:val="none" w:sz="0" w:space="0" w:color="auto"/>
        <w:bottom w:val="none" w:sz="0" w:space="0" w:color="auto"/>
        <w:right w:val="none" w:sz="0" w:space="0" w:color="auto"/>
      </w:divBdr>
    </w:div>
    <w:div w:id="2030720446">
      <w:bodyDiv w:val="1"/>
      <w:marLeft w:val="0"/>
      <w:marRight w:val="0"/>
      <w:marTop w:val="0"/>
      <w:marBottom w:val="0"/>
      <w:divBdr>
        <w:top w:val="none" w:sz="0" w:space="0" w:color="auto"/>
        <w:left w:val="none" w:sz="0" w:space="0" w:color="auto"/>
        <w:bottom w:val="none" w:sz="0" w:space="0" w:color="auto"/>
        <w:right w:val="none" w:sz="0" w:space="0" w:color="auto"/>
      </w:divBdr>
    </w:div>
    <w:div w:id="2045252572">
      <w:bodyDiv w:val="1"/>
      <w:marLeft w:val="0"/>
      <w:marRight w:val="0"/>
      <w:marTop w:val="0"/>
      <w:marBottom w:val="0"/>
      <w:divBdr>
        <w:top w:val="none" w:sz="0" w:space="0" w:color="auto"/>
        <w:left w:val="none" w:sz="0" w:space="0" w:color="auto"/>
        <w:bottom w:val="none" w:sz="0" w:space="0" w:color="auto"/>
        <w:right w:val="none" w:sz="0" w:space="0" w:color="auto"/>
      </w:divBdr>
    </w:div>
    <w:div w:id="2073892206">
      <w:bodyDiv w:val="1"/>
      <w:marLeft w:val="0"/>
      <w:marRight w:val="0"/>
      <w:marTop w:val="0"/>
      <w:marBottom w:val="0"/>
      <w:divBdr>
        <w:top w:val="none" w:sz="0" w:space="0" w:color="auto"/>
        <w:left w:val="none" w:sz="0" w:space="0" w:color="auto"/>
        <w:bottom w:val="none" w:sz="0" w:space="0" w:color="auto"/>
        <w:right w:val="none" w:sz="0" w:space="0" w:color="auto"/>
      </w:divBdr>
    </w:div>
    <w:div w:id="20972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2cc8c89477e456eb48e61b1cb42a2c0 xmlns="7ddbcf87-b050-43a2-b7ff-65d83e78af57"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686DA73B51BDAE499A8C5C19CB59598B" ma:contentTypeVersion="1" ma:contentTypeDescription="" ma:contentTypeScope="" ma:versionID="17e0f298a61a194f68c0739e60e142b3">
  <xsd:schema xmlns:xsd="http://www.w3.org/2001/XMLSchema" xmlns:xs="http://www.w3.org/2001/XMLSchema" xmlns:p="http://schemas.microsoft.com/office/2006/metadata/properties" xmlns:ns2="4b2e9d09-07c5-42d4-ad0a-92e216c40b99" xmlns:ns3="7ddbcf87-b050-43a2-b7ff-65d83e78af57" targetNamespace="http://schemas.microsoft.com/office/2006/metadata/properties" ma:root="true" ma:fieldsID="d0aa26ecac8558f5a019f19a99f1449f" ns2:_="" ns3:_="">
    <xsd:import namespace="4b2e9d09-07c5-42d4-ad0a-92e216c40b99"/>
    <xsd:import namespace="7ddbcf87-b050-43a2-b7ff-65d83e78af57"/>
    <xsd:element name="properties">
      <xsd:complexType>
        <xsd:sequence>
          <xsd:element name="documentManagement">
            <xsd:complexType>
              <xsd:all>
                <xsd:element ref="ns2:DmsDocPrepListOrderNo" minOccurs="0"/>
                <xsd:element ref="ns3:o2cc8c89477e456eb48e61b1cb42a2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dbcf87-b050-43a2-b7ff-65d83e78af57" elementFormDefault="qualified">
    <xsd:import namespace="http://schemas.microsoft.com/office/2006/documentManagement/types"/>
    <xsd:import namespace="http://schemas.microsoft.com/office/infopath/2007/PartnerControls"/>
    <xsd:element name="o2cc8c89477e456eb48e61b1cb42a2c0" ma:index="9" nillable="true" ma:displayName="DmsPermissionsDivisions_0" ma:hidden="true" ma:internalName="o2cc8c89477e456eb48e61b1cb42a2c0">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E839-16F2-4F76-9521-247F7E44E918}">
  <ds:schemaRefs>
    <ds:schemaRef ds:uri="http://schemas.microsoft.com/sharepoint/v3/contenttype/forms"/>
  </ds:schemaRefs>
</ds:datastoreItem>
</file>

<file path=customXml/itemProps2.xml><?xml version="1.0" encoding="utf-8"?>
<ds:datastoreItem xmlns:ds="http://schemas.openxmlformats.org/officeDocument/2006/customXml" ds:itemID="{CD7F4EF3-17A1-4261-AEF9-50E84698442F}">
  <ds:schemaRefs>
    <ds:schemaRef ds:uri="http://schemas.microsoft.com/office/2006/metadata/properties"/>
    <ds:schemaRef ds:uri="http://schemas.microsoft.com/office/infopath/2007/PartnerControls"/>
    <ds:schemaRef ds:uri="7ddbcf87-b050-43a2-b7ff-65d83e78af57"/>
    <ds:schemaRef ds:uri="4b2e9d09-07c5-42d4-ad0a-92e216c40b99"/>
  </ds:schemaRefs>
</ds:datastoreItem>
</file>

<file path=customXml/itemProps3.xml><?xml version="1.0" encoding="utf-8"?>
<ds:datastoreItem xmlns:ds="http://schemas.openxmlformats.org/officeDocument/2006/customXml" ds:itemID="{47D3ED2B-A950-4D41-B11A-F8F77BB47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7ddbcf87-b050-43a2-b7ff-65d83e78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6EB8E-5144-4F65-9CC7-9FB6A094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6146</Characters>
  <Application>Microsoft Office Word</Application>
  <DocSecurity>4</DocSecurity>
  <Lines>384</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RESPUBLIKOS SVEIKATOS APSAUGOS MINISTRO 2005 M. GRUODŽIO 5 D. ĮSAKYMO NR. V-943 ,,DĖL PIRMINĖS AMBULATORINĖS ASMENS SVEIKATOS PRIEŽIŪROS PASLAUGŲ ORGANIZAVIMO IR APMOKĖJIMO TVARKOS APRAŠO BEI PIRMINĖS AMBULATORINĖS ASMENS SVEIKATOS PRIEŽIŪROS</vt:lpstr>
      <vt:lpstr>DĖL LIETUVOS RESPUBLIKOS SVEIKATOS APSAUGOS MINISTRO 2005 M. GRUODŽIO 5 D. ĮSAKYMO NR. V-943 ,,DĖL PIRMINĖS AMBULATORINĖS ASMENS SVEIKATOS PRIEŽIŪROS PASLAUGŲ ORGANIZAVIMO IR APMOKĖJIMO TVARKOS APRAŠO BEI PIRMINĖS AMBULATORINĖS ASMENS SVEIKATOS PRIEŽIŪROS</vt:lpstr>
    </vt:vector>
  </TitlesOfParts>
  <Company/>
  <LinksUpToDate>false</LinksUpToDate>
  <CharactersWithSpaces>6902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2024-05-14T17:40:00Z</dcterms:created>
  <dc:creator>Oksana Burokienė</dc:creator>
  <lastModifiedBy>adlibuser</lastModifiedBy>
  <lastPrinted>2023-02-28T12:49:00Z</lastPrinted>
  <dcterms:modified xsi:type="dcterms:W3CDTF">2024-05-14T17:40:00Z</dcterms:modified>
  <revision>2</revision>
  <dc:title>DĖL LIETUVOS RESPUBLIKOS SVEIKATOS APSAUGOS MINISTRO 2005 M. GRUODŽIO 5 D. ĮSAKYMO NR. V-943 ,,DĖL PIRMINĖS AMBULATORINĖS ASMENS SVEIKATOS PRIEŽIŪROS PASLAUGŲ ORGANIZAVIMO IR APMOKĖJIMO TVARKOS APRAŠO BEI PIRMINĖS AMBULATORINĖS ASMENS SVEIKATOS PRIEŽIŪROS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0x010100D76F90AF19434866994CD715ED8FEE4200686DA73B51BDAE499A8C5C19CB59598B</vt:lpwstr>
  </property>
  <property fmtid="{D5CDD505-2E9C-101B-9397-08002B2CF9AE}" pid="3" name="TaxCatchAll">
    <vt:lpwstr>
    </vt:lpwstr>
  </property>
  <property fmtid="{D5CDD505-2E9C-101B-9397-08002B2CF9AE}" pid="4" name="GrammarlyDocumentId">
    <vt:lpwstr>b9f3a0defe6b699674b4274dde92874c5a692f569ab0fe1a770980a2d7fe55ee</vt:lpwstr>
  </property>
</Properties>
</file>